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79277" w:id="0"/>
    <w:bookmarkEnd w:id="0"/>
    <w:bookmarkStart w:name="f-79277-worksection-current" w:id="1"/>
    <w:bookmarkStart w:name="f-69668" w:id="2"/>
    <w:bookmarkStart w:name="f-69668-content1" w:id="3"/>
    <w:p>
      <w:pPr>
        <w:pStyle w:val="Heading1"/>
      </w:pPr>
      <w:bookmarkStart w:name="h-69668-content1" w:id="4"/>
      <w:r>
        <w:rPr/>
        <w:t xml:space="preserve">1073 Emergency warning and intercommunication</w:t>
      </w:r>
      <w:bookmarkEnd w:id="4"/>
    </w:p>
    <w:bookmarkEnd w:id="3"/>
    <w:bookmarkEnd w:id="2"/>
    <w:bookmarkStart w:name="f-2_104464" w:id="5"/>
    <w:bookmarkStart w:name="f-2_104464-1" w:id="6"/>
    <w:p>
      <w:pPr>
        <w:pStyle w:val="InstructionsHeading4"/>
      </w:pPr>
      <w:r>
        <w:rPr/>
        <w:t xml:space="preserve">Worksection abstract</w:t>
      </w:r>
    </w:p>
    <w:p>
      <w:pPr>
        <w:pStyle w:val="Instructions"/>
      </w:pPr>
      <w:r>
        <w:rPr/>
        <w:t xml:space="preserve">This worksection </w:t>
      </w:r>
      <w:r>
        <w:rPr>
          <w:i/>
        </w:rPr>
        <w:t xml:space="preserve">Template</w:t>
      </w:r>
      <w:r>
        <w:rPr/>
        <w:t xml:space="preserve"> is applicable to the provision of building emergency warning and intercommunication systems (EWIS) and relies on AS 1670.4, AS 60849 and AS 4428.4. It is also to be used for occupant warning systems (OWS) which are a requirement of the NCC wherever a fire alarm system is included.</w:t>
      </w:r>
    </w:p>
    <w:bookmarkEnd w:id="6"/>
    <w:bookmarkEnd w:id="5"/>
    <w:bookmarkStart w:name="f-99906" w:id="7"/>
    <w:bookmarkStart w:name="f-99906-2" w:id="8"/>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8"/>
    <w:bookmarkEnd w:id="7"/>
    <w:bookmarkStart w:name="f-68272" w:id="9"/>
    <w:bookmarkStart w:name="f-68272-content1" w:id="10"/>
    <w:p>
      <w:pPr>
        <w:pStyle w:val="InstructionsHeading4"/>
      </w:pPr>
      <w:r>
        <w:rPr/>
        <w:t xml:space="preserve">Related material located elsewhere in NATSPEC</w:t>
      </w:r>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See for example:</w:t>
      </w:r>
    </w:p>
    <w:p>
      <w:pPr>
        <w:pStyle w:val="Instructionsindent"/>
      </w:pPr>
      <w:r>
        <w:rPr>
          <w:i/>
        </w:rPr>
        <w:t xml:space="preserve">0963 Sound systems</w:t>
      </w:r>
      <w:r>
        <w:rPr>
          <w:i/>
        </w:rPr>
        <w:t xml:space="preserve">.</w:t>
      </w:r>
    </w:p>
    <w:bookmarkEnd w:id="10"/>
    <w:bookmarkEnd w:id="9"/>
    <w:bookmarkStart w:name="f-96544" w:id="11"/>
    <w:bookmarkStart w:name="f-96544-content1" w:id="12"/>
    <w:p>
      <w:pPr>
        <w:pStyle w:val="InstructionsHeading4"/>
      </w:pPr>
      <w:r>
        <w:rPr/>
        <w:t xml:space="preserve">Cross references</w:t>
      </w:r>
    </w:p>
    <w:p>
      <w:pPr>
        <w:pStyle w:val="Instructions"/>
      </w:pPr>
      <w:r>
        <w:rPr/>
        <w:t xml:space="preserve">Worksections that cross reference this worksection are:</w:t>
      </w:r>
    </w:p>
    <w:p>
      <w:pPr>
        <w:pStyle w:val="Instructionsindent"/>
      </w:pPr>
      <w:r>
        <w:rPr>
          <w:i/>
        </w:rPr>
        <w:t xml:space="preserve">1041 Gaseous fire suppression systems</w:t>
      </w:r>
      <w:r>
        <w:rPr/>
        <w:t xml:space="preserve">.</w:t>
      </w:r>
    </w:p>
    <w:p>
      <w:pPr>
        <w:pStyle w:val="Instructionsindent"/>
      </w:pPr>
      <w:r>
        <w:rPr>
          <w:i/>
        </w:rPr>
        <w:t xml:space="preserve">1051 Liquid chemical fire suppression systems</w:t>
      </w:r>
      <w:r>
        <w:rPr/>
        <w:t xml:space="preserve">.</w:t>
      </w:r>
    </w:p>
    <w:p>
      <w:pPr>
        <w:pStyle w:val="Instructionsindent"/>
      </w:pPr>
      <w:r>
        <w:rPr>
          <w:i/>
        </w:rPr>
        <w:t xml:space="preserve">1072 Fire detection and alarms</w:t>
      </w:r>
      <w:r>
        <w:rPr/>
        <w:t xml:space="preserve">.</w:t>
      </w:r>
    </w:p>
    <w:bookmarkEnd w:id="12"/>
    <w:bookmarkEnd w:id="11"/>
    <w:bookmarkStart w:name="f-90815" w:id="13"/>
    <w:bookmarkStart w:name="f-90815-content1" w:id="14"/>
    <w:p>
      <w:pPr>
        <w:pStyle w:val="InstructionsHeading4"/>
      </w:pPr>
      <w:r>
        <w:rPr/>
        <w:t xml:space="preserve">Material not included in NATSPEC</w:t>
      </w:r>
    </w:p>
    <w:p>
      <w:pPr>
        <w:pStyle w:val="Instructions"/>
      </w:pPr>
      <w:r>
        <w:rPr/>
        <w:t xml:space="preserve">Some projects may include items not covered by NATSPEC. For these you may need to create new text, or modify this text or a suitable worksection.</w:t>
      </w:r>
    </w:p>
    <w:bookmarkEnd w:id="14"/>
    <w:bookmarkEnd w:id="13"/>
    <w:bookmarkStart w:name="f-89424" w:id="15"/>
    <w:bookmarkStart w:name="f-89424-content1" w:id="16"/>
    <w:p>
      <w:pPr>
        <w:pStyle w:val="InstructionsHeading4"/>
      </w:pPr>
      <w:r>
        <w:rPr/>
        <w:t xml:space="preserve">Documenting this and related work</w:t>
      </w:r>
    </w:p>
    <w:p>
      <w:pPr>
        <w:pStyle w:val="Instructions"/>
      </w:pPr>
      <w:r>
        <w:rPr/>
        <w:t xml:space="preserve">As an alternative to the schedules in the specification you may document this and related work as follows:</w:t>
      </w:r>
    </w:p>
    <w:p>
      <w:pPr>
        <w:pStyle w:val="Instructionsindent"/>
      </w:pPr>
      <w:r>
        <w:rPr/>
        <w:t xml:space="preserve">Provide a block diagram or single line diagram on the drawings.</w:t>
      </w:r>
    </w:p>
    <w:p>
      <w:pPr>
        <w:pStyle w:val="Instructionsindent"/>
      </w:pPr>
      <w:r>
        <w:rPr/>
        <w:t xml:space="preserve">Provide plan layouts showing the location, type and layout of all equipment and cable routes.</w:t>
      </w:r>
    </w:p>
    <w:bookmarkStart w:name="f-104408" w:id="17"/>
    <w:bookmarkStart w:name="f-104408-1" w:id="18"/>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18"/>
    <w:bookmarkEnd w:id="17"/>
    <w:p>
      <w:pPr>
        <w:pStyle w:val="Instructions"/>
      </w:pPr>
      <w:r>
        <w:rPr/>
        <w:t xml:space="preserve">For example:</w:t>
      </w:r>
    </w:p>
    <w:p>
      <w:pPr>
        <w:pStyle w:val="Instructionsindent"/>
      </w:pPr>
      <w:r>
        <w:rPr/>
        <w:t xml:space="preserve">Emergency Control Panel (ECP).</w:t>
      </w:r>
    </w:p>
    <w:p>
      <w:pPr>
        <w:pStyle w:val="Instructionsindent"/>
      </w:pPr>
      <w:r>
        <w:rPr/>
        <w:t xml:space="preserve">Secondary Evacuation Control Panels (SECP).</w:t>
      </w:r>
    </w:p>
    <w:p>
      <w:pPr>
        <w:pStyle w:val="Instructionsindent"/>
      </w:pPr>
      <w:r>
        <w:rPr/>
        <w:t xml:space="preserve">Warden Intercom Points (WIP).</w:t>
      </w:r>
    </w:p>
    <w:p>
      <w:pPr>
        <w:pStyle w:val="Instructionsindent"/>
      </w:pPr>
      <w:r>
        <w:rPr/>
        <w:t xml:space="preserve">Warning lights.</w:t>
      </w:r>
    </w:p>
    <w:p>
      <w:pPr>
        <w:pStyle w:val="Instructionsindent"/>
      </w:pPr>
      <w:r>
        <w:rPr/>
        <w:t xml:space="preserve">Cabling and wiring.</w:t>
      </w:r>
    </w:p>
    <w:bookmarkEnd w:id="16"/>
    <w:bookmarkEnd w:id="15"/>
    <w:bookmarkStart w:name="f-83410" w:id="19"/>
    <w:bookmarkStart w:name="f-83410-content1" w:id="20"/>
    <w:p>
      <w:pPr>
        <w:pStyle w:val="InstructionsHeading4"/>
      </w:pPr>
      <w:r>
        <w:rPr/>
        <w:t xml:space="preserve">Specifying ESD</w:t>
      </w:r>
    </w:p>
    <w:p>
      <w:pPr>
        <w:pStyle w:val="Instructions"/>
      </w:pPr>
      <w:r>
        <w:rPr/>
        <w:t xml:space="preserve">The following may be specified by including additional text:</w:t>
      </w:r>
    </w:p>
    <w:p>
      <w:pPr>
        <w:pStyle w:val="Instructionsindent"/>
      </w:pPr>
      <w:r>
        <w:rPr/>
        <w:t xml:space="preserve">Materials and products selection.</w:t>
      </w:r>
    </w:p>
    <w:p>
      <w:pPr>
        <w:pStyle w:val="Instructions"/>
      </w:pPr>
      <w:r>
        <w:rPr/>
        <w:t xml:space="preserve">Refer to NATSPEC TECHreport TR 01 on specifying ESD.</w:t>
      </w:r>
    </w:p>
    <w:bookmarkEnd w:id="20"/>
    <w:bookmarkEnd w:id="19"/>
    <w:bookmarkStart w:name="f-85531-content" w:id="21"/>
    <w:p>
      <w:pPr>
        <w:pStyle w:val="Heading2"/>
      </w:pPr>
      <w:bookmarkStart w:name="h-85531-content" w:id="22"/>
      <w:r>
        <w:rPr/>
        <w:t xml:space="preserve">General</w:t>
      </w:r>
      <w:bookmarkEnd w:id="22"/>
    </w:p>
    <w:bookmarkEnd w:id="21"/>
    <w:bookmarkStart w:name="f-92121-content" w:id="23"/>
    <w:p>
      <w:pPr>
        <w:pStyle w:val="Heading3"/>
      </w:pPr>
      <w:bookmarkStart w:name="h-92121-content" w:id="24"/>
      <w:r>
        <w:rPr/>
        <w:t xml:space="preserve">Responsibilities</w:t>
      </w:r>
      <w:bookmarkEnd w:id="24"/>
    </w:p>
    <w:bookmarkEnd w:id="23"/>
    <w:bookmarkStart w:name="f-63864" w:id="25"/>
    <w:bookmarkStart w:name="f-63864-content1" w:id="26"/>
    <w:p>
      <w:pPr>
        <w:pStyle w:val="Heading4"/>
      </w:pPr>
      <w:bookmarkStart w:name="h-63864-content1" w:id="27"/>
      <w:r>
        <w:rPr/>
        <w:t xml:space="preserve">General</w:t>
      </w:r>
      <w:bookmarkEnd w:id="27"/>
    </w:p>
    <w:p>
      <w:pPr>
        <w:pStyle w:val="Normal"/>
      </w:pPr>
      <w:r>
        <w:rPr/>
        <w:t xml:space="preserve">Requirement: Provide an emergency warning and intercommunication system, as documented.</w:t>
      </w:r>
    </w:p>
    <w:bookmarkStart w:name="f-99931" w:id="28"/>
    <w:bookmarkStart w:name="f-99931-2" w:id="29"/>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29"/>
    <w:bookmarkEnd w:id="28"/>
    <w:p>
      <w:pPr>
        <w:pStyle w:val="Instructions"/>
      </w:pPr>
      <w:r>
        <w:rPr/>
        <w:t xml:space="preserve">If this worksection is only to be used for an occupant warning system (OWS) this clause should be adjusted accordingly and the references to intercommunications system deleted throughout.</w:t>
      </w:r>
    </w:p>
    <w:p>
      <w:pPr>
        <w:pStyle w:val="Instructions"/>
      </w:pPr>
      <w:r>
        <w:rPr/>
        <w:t xml:space="preserve">If the system will also serve as a public address system this worksection should cross reference </w:t>
      </w:r>
      <w:r>
        <w:rPr>
          <w:i/>
        </w:rPr>
        <w:t xml:space="preserve">0963 Sound systems</w:t>
      </w:r>
      <w:r>
        <w:rPr/>
        <w:t xml:space="preserve">.</w:t>
      </w:r>
    </w:p>
    <w:bookmarkEnd w:id="26"/>
    <w:bookmarkEnd w:id="25"/>
    <w:bookmarkStart w:name="f-67550" w:id="30"/>
    <w:bookmarkStart w:name="f-67550-content" w:id="31"/>
    <w:p>
      <w:pPr>
        <w:pStyle w:val="Heading3"/>
      </w:pPr>
      <w:bookmarkStart w:name="h-67550-content" w:id="32"/>
      <w:r>
        <w:rPr/>
        <w:t xml:space="preserve">Cross references</w:t>
      </w:r>
      <w:bookmarkEnd w:id="32"/>
    </w:p>
    <w:bookmarkEnd w:id="31"/>
    <w:bookmarkEnd w:id="30"/>
    <w:bookmarkStart w:name="f-98423" w:id="33"/>
    <w:bookmarkStart w:name="f-98423-content2" w:id="34"/>
    <w:bookmarkStart w:name="f-99933" w:id="35"/>
    <w:bookmarkStart w:name="f-99933-5" w:id="36"/>
    <w:p>
      <w:pPr>
        <w:pStyle w:val="Heading4"/>
      </w:pPr>
      <w:bookmarkStart w:name="h-99933-5" w:id="37"/>
      <w:r>
        <w:rPr/>
        <w:t xml:space="preserve">General</w:t>
      </w:r>
      <w:bookmarkEnd w:id="37"/>
    </w:p>
    <w:p>
      <w:pPr>
        <w:pStyle w:val="Normal"/>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36"/>
    <w:bookmarkEnd w:id="35"/>
    <w:p>
      <w:pPr>
        <w:pStyle w:val="NormalIndent"/>
      </w:pPr>
      <w:r>
        <w:rPr>
          <w:i/>
        </w:rPr>
        <w:t xml:space="preserve">1001 Fire services systems</w:t>
      </w:r>
      <w:r>
        <w:rPr/>
        <w:t xml:space="preserve">.</w:t>
      </w:r>
    </w:p>
    <w:p>
      <w:pPr>
        <w:pStyle w:val="Instructions"/>
      </w:pPr>
      <w:r>
        <w:rPr>
          <w:i/>
        </w:rPr>
        <w:t xml:space="preserve">1001 Fire services systems</w:t>
      </w:r>
      <w:r>
        <w:rPr/>
        <w:t xml:space="preserve"> deals with matters applicable to more than one Fire services worksection.</w:t>
      </w:r>
    </w:p>
    <w:bookmarkEnd w:id="34"/>
    <w:bookmarkEnd w:id="33"/>
    <w:bookmarkStart w:name="f-85546-content" w:id="38"/>
    <w:p>
      <w:pPr>
        <w:pStyle w:val="Heading3"/>
      </w:pPr>
      <w:bookmarkStart w:name="h-85546-content" w:id="39"/>
      <w:r>
        <w:rPr/>
        <w:t xml:space="preserve">Standards</w:t>
      </w:r>
      <w:bookmarkEnd w:id="39"/>
    </w:p>
    <w:bookmarkEnd w:id="38"/>
    <w:bookmarkStart w:name="f-113193" w:id="40"/>
    <w:bookmarkStart w:name="f-113193-1" w:id="41"/>
    <w:p>
      <w:pPr>
        <w:pStyle w:val="Heading4"/>
      </w:pPr>
      <w:bookmarkStart w:name="h-113193-1" w:id="42"/>
      <w:r>
        <w:rPr/>
        <w:t xml:space="preserve">General</w:t>
      </w:r>
      <w:bookmarkEnd w:id="42"/>
    </w:p>
    <w:p>
      <w:pPr>
        <w:pStyle w:val="Normal"/>
      </w:pPr>
      <w:r>
        <w:rPr/>
        <w:t xml:space="preserve">Intercommunication system: To AS 1428.5, AS 1670.4, AS 1670.5, AS 4428.4 and AS 4428.16.</w:t>
      </w:r>
    </w:p>
    <w:p>
      <w:pPr>
        <w:pStyle w:val="Normal"/>
      </w:pPr>
      <w:r>
        <w:rPr/>
        <w:t xml:space="preserve">Sound system: To AS 1670.4, AS ISO 7240.24 and AS 60849.</w:t>
      </w:r>
    </w:p>
    <w:p>
      <w:pPr>
        <w:pStyle w:val="Instructions"/>
      </w:pPr>
      <w:r>
        <w:rPr/>
        <w:t xml:space="preserve">AS 1428.5 describes the requirements for people who are deaf or hearing impaired.</w:t>
      </w:r>
    </w:p>
    <w:p>
      <w:pPr>
        <w:pStyle w:val="Instructions"/>
      </w:pPr>
      <w:r>
        <w:rPr/>
        <w:t xml:space="preserve">AS 4428.4 describes the design and construction of the central equipment used to make up the systems, as well as type testing procedures for equipment approval.</w:t>
      </w:r>
    </w:p>
    <w:p>
      <w:pPr>
        <w:pStyle w:val="Instructions"/>
      </w:pPr>
      <w:r>
        <w:rPr/>
        <w:t xml:space="preserve">AS 1670.4 outlines the performance and installation requirements and serves as a design guide for the completed system. It includes an option of compliance with AS 60849.</w:t>
      </w:r>
    </w:p>
    <w:p>
      <w:pPr>
        <w:pStyle w:val="Instructions"/>
      </w:pPr>
      <w:r>
        <w:rPr/>
        <w:t xml:space="preserve">AS 1670.4 is mandatory under BCA E4.9 for certain Classes of Buildings.</w:t>
      </w:r>
    </w:p>
    <w:p>
      <w:pPr>
        <w:pStyle w:val="Instructions"/>
      </w:pPr>
      <w:r>
        <w:rPr/>
        <w:t xml:space="preserve">AS 1670.5 applies to installations for special hazards.</w:t>
      </w:r>
    </w:p>
    <w:p>
      <w:pPr>
        <w:pStyle w:val="Instructions"/>
      </w:pPr>
      <w:r>
        <w:rPr/>
        <w:t xml:space="preserve">AS ISO 7240.24 requirements deal with the test methods and performance criteria for loudspeakers intended to broadcast a warning of fire between a fire detection alarm system and the occupants of the building.</w:t>
      </w:r>
    </w:p>
    <w:bookmarkEnd w:id="41"/>
    <w:bookmarkEnd w:id="40"/>
    <w:bookmarkStart w:name="f-88684" w:id="43"/>
    <w:bookmarkStart w:name="f-88684-content" w:id="44"/>
    <w:p>
      <w:pPr>
        <w:pStyle w:val="Heading3"/>
      </w:pPr>
      <w:bookmarkStart w:name="h-88684-content" w:id="45"/>
      <w:r>
        <w:rPr/>
        <w:t xml:space="preserve">Interpretation</w:t>
      </w:r>
      <w:bookmarkEnd w:id="45"/>
    </w:p>
    <w:bookmarkEnd w:id="44"/>
    <w:bookmarkEnd w:id="43"/>
    <w:bookmarkStart w:name="f-191480" w:id="46"/>
    <w:bookmarkStart w:name="f-191480-1" w:id="47"/>
    <w:p>
      <w:pPr>
        <w:pStyle w:val="Heading4"/>
      </w:pPr>
      <w:bookmarkStart w:name="h-191480-1" w:id="48"/>
      <w:r>
        <w:rPr/>
        <w:t xml:space="preserve">Abbreviations</w:t>
      </w:r>
      <w:bookmarkEnd w:id="48"/>
    </w:p>
    <w:p>
      <w:pPr>
        <w:pStyle w:val="Normal"/>
      </w:pPr>
      <w:r>
        <w:rPr/>
        <w:t xml:space="preserve">General: For the purposes of this worksection the following abbreviations apply:</w:t>
      </w:r>
    </w:p>
    <w:p>
      <w:pPr>
        <w:pStyle w:val="NormalIndent"/>
      </w:pPr>
      <w:r>
        <w:rPr/>
        <w:t xml:space="preserve">CIE: Control and Indicating Equipment.</w:t>
      </w:r>
    </w:p>
    <w:p>
      <w:pPr>
        <w:pStyle w:val="NormalIndent"/>
      </w:pPr>
      <w:r>
        <w:rPr/>
        <w:t xml:space="preserve">DSEP: Designated Site Entry Point.</w:t>
      </w:r>
    </w:p>
    <w:p>
      <w:pPr>
        <w:pStyle w:val="NormalIndent"/>
      </w:pPr>
      <w:r>
        <w:rPr/>
        <w:t xml:space="preserve">FBP: Fire Brigade Panel.</w:t>
      </w:r>
    </w:p>
    <w:p>
      <w:pPr>
        <w:pStyle w:val="NormalIndent"/>
      </w:pPr>
      <w:r>
        <w:rPr/>
        <w:t xml:space="preserve">WIP: Warden Intercom Point.</w:t>
      </w:r>
    </w:p>
    <w:bookmarkEnd w:id="47"/>
    <w:bookmarkEnd w:id="46"/>
    <w:bookmarkStart w:name="f-93472-content" w:id="49"/>
    <w:p>
      <w:pPr>
        <w:pStyle w:val="Heading3"/>
      </w:pPr>
      <w:bookmarkStart w:name="h-93472-content" w:id="50"/>
      <w:r>
        <w:rPr/>
        <w:t xml:space="preserve">Submissions</w:t>
      </w:r>
      <w:bookmarkEnd w:id="50"/>
    </w:p>
    <w:bookmarkEnd w:id="49"/>
    <w:bookmarkStart w:name="f-81431" w:id="51"/>
    <w:bookmarkStart w:name="f-81431-content1" w:id="52"/>
    <w:p>
      <w:pPr>
        <w:pStyle w:val="Heading4"/>
      </w:pPr>
      <w:bookmarkStart w:name="h-81431-content1" w:id="53"/>
      <w:r>
        <w:rPr/>
        <w:t xml:space="preserve">Operation and maintenance manuals</w:t>
      </w:r>
      <w:bookmarkEnd w:id="53"/>
    </w:p>
    <w:p>
      <w:pPr>
        <w:pStyle w:val="Normal"/>
      </w:pPr>
      <w:r>
        <w:rPr/>
        <w:t xml:space="preserve">Standard: To AS 4428.4 Section 3 and the recommendations of AS 1670.4 Appendix A.</w:t>
      </w:r>
    </w:p>
    <w:p>
      <w:pPr>
        <w:pStyle w:val="Normal"/>
      </w:pPr>
      <w:r>
        <w:rPr/>
        <w:t xml:space="preserve">Requirement: Submit operational and maintenance documentation necessary to operate and maintain the systems installed. Include baseline data to AS 1851 clause 1.8. Conform to </w:t>
      </w:r>
      <w:r>
        <w:rPr>
          <w:i/>
        </w:rPr>
        <w:t xml:space="preserve">0171 General requirements</w:t>
      </w:r>
      <w:r>
        <w:rPr/>
        <w:t xml:space="preserve">.</w:t>
      </w:r>
    </w:p>
    <w:p>
      <w:pPr>
        <w:pStyle w:val="Instructions"/>
      </w:pPr>
      <w:r>
        <w:rPr/>
        <w:t xml:space="preserve">Baseline data is required for maintenance to AS 1851 which states that "The non-availability of baseline data shall be reported as a non-conformance."</w:t>
      </w:r>
    </w:p>
    <w:p>
      <w:pPr>
        <w:pStyle w:val="Instructions"/>
      </w:pPr>
      <w:r>
        <w:rPr/>
        <w:t xml:space="preserve">AS 1851 Appendix C provides guidance on required baseline data.</w:t>
      </w:r>
    </w:p>
    <w:bookmarkEnd w:id="52"/>
    <w:bookmarkEnd w:id="51"/>
    <w:bookmarkStart w:name="f-93583" w:id="54"/>
    <w:bookmarkStart w:name="f-93583-content1" w:id="55"/>
    <w:p>
      <w:pPr>
        <w:pStyle w:val="Heading4"/>
      </w:pPr>
      <w:bookmarkStart w:name="h-93583-content1" w:id="56"/>
      <w:r>
        <w:rPr/>
        <w:t xml:space="preserve">Products and materials</w:t>
      </w:r>
      <w:bookmarkEnd w:id="56"/>
    </w:p>
    <w:p>
      <w:pPr>
        <w:pStyle w:val="Normal"/>
      </w:pPr>
      <w:r>
        <w:rPr/>
        <w:t xml:space="preserve">Requirement: Submit product data for all components.</w:t>
      </w:r>
    </w:p>
    <w:bookmarkEnd w:id="55"/>
    <w:bookmarkEnd w:id="54"/>
    <w:bookmarkStart w:name="f-80629" w:id="57"/>
    <w:bookmarkStart w:name="f-80629-content1" w:id="58"/>
    <w:p>
      <w:pPr>
        <w:pStyle w:val="Heading4"/>
      </w:pPr>
      <w:bookmarkStart w:name="h-80629-content1" w:id="59"/>
      <w:r>
        <w:rPr/>
        <w:t xml:space="preserve">Samples</w:t>
      </w:r>
      <w:bookmarkEnd w:id="59"/>
    </w:p>
    <w:p>
      <w:pPr>
        <w:pStyle w:val="Normal"/>
      </w:pPr>
      <w:r>
        <w:rPr/>
        <w:t xml:space="preserve">General: Submit samples of the following:</w:t>
      </w:r>
    </w:p>
    <w:p>
      <w:pPr>
        <w:pStyle w:val="NormalIndent"/>
      </w:pPr>
      <w:r>
        <w:rPr/>
        <w:t xml:space="preserve">Visual alarm devices.</w:t>
      </w:r>
    </w:p>
    <w:p>
      <w:pPr>
        <w:pStyle w:val="NormalIndent"/>
      </w:pPr>
      <w:r>
        <w:rPr/>
        <w:t xml:space="preserve">Speakers.</w:t>
      </w:r>
    </w:p>
    <w:p>
      <w:pPr>
        <w:pStyle w:val="NormalIndent"/>
      </w:pPr>
      <w:r>
        <w:rPr/>
        <w:t xml:space="preserve">Handsets.</w:t>
      </w:r>
    </w:p>
    <w:p>
      <w:pPr>
        <w:pStyle w:val="Instructions"/>
      </w:pPr>
      <w:r>
        <w:rPr/>
        <w:t xml:space="preserve">Specify the samples required for inspection, particularly where there are architectural considerations to be taken into account.</w:t>
      </w:r>
    </w:p>
    <w:bookmarkEnd w:id="58"/>
    <w:bookmarkEnd w:id="57"/>
    <w:bookmarkStart w:name="f-74770" w:id="60"/>
    <w:bookmarkStart w:name="f-74770-content1" w:id="61"/>
    <w:p>
      <w:pPr>
        <w:pStyle w:val="Heading4"/>
      </w:pPr>
      <w:bookmarkStart w:name="h-74770-content1" w:id="62"/>
      <w:r>
        <w:rPr/>
        <w:t xml:space="preserve">Shop drawings</w:t>
      </w:r>
      <w:bookmarkEnd w:id="62"/>
    </w:p>
    <w:p>
      <w:pPr>
        <w:pStyle w:val="Normal"/>
      </w:pPr>
      <w:r>
        <w:rPr/>
        <w:t xml:space="preserve">General: Submit shop drawings showing the following:</w:t>
      </w:r>
    </w:p>
    <w:p>
      <w:pPr>
        <w:pStyle w:val="NormalIndent"/>
      </w:pPr>
      <w:r>
        <w:rPr/>
        <w:t xml:space="preserve">Panel layouts and enclosures including associated building works.</w:t>
      </w:r>
    </w:p>
    <w:p>
      <w:pPr>
        <w:pStyle w:val="NormalIndent"/>
      </w:pPr>
      <w:r>
        <w:rPr/>
        <w:t xml:space="preserve">Cabling diagrams.</w:t>
      </w:r>
    </w:p>
    <w:p>
      <w:pPr>
        <w:pStyle w:val="NormalIndent"/>
      </w:pPr>
      <w:r>
        <w:rPr/>
        <w:t xml:space="preserve">Equipment layout.</w:t>
      </w:r>
    </w:p>
    <w:p>
      <w:pPr>
        <w:pStyle w:val="NormalIndent"/>
      </w:pPr>
      <w:r>
        <w:rPr/>
        <w:t xml:space="preserve">Speakers, handsets, visual alarm devices and wiring layouts.</w:t>
      </w:r>
    </w:p>
    <w:p>
      <w:pPr>
        <w:pStyle w:val="NormalIndent"/>
      </w:pPr>
      <w:r>
        <w:rPr/>
        <w:t xml:space="preserve">Warden intercom points.</w:t>
      </w:r>
    </w:p>
    <w:p>
      <w:pPr>
        <w:pStyle w:val="NormalIndent"/>
      </w:pPr>
      <w:r>
        <w:rPr/>
        <w:t xml:space="preserve">Loudspeaker enclosures.</w:t>
      </w:r>
    </w:p>
    <w:bookmarkEnd w:id="61"/>
    <w:bookmarkEnd w:id="60"/>
    <w:bookmarkStart w:name="f-68909" w:id="63"/>
    <w:bookmarkStart w:name="f-68909-content1" w:id="64"/>
    <w:p>
      <w:pPr>
        <w:pStyle w:val="Heading4"/>
      </w:pPr>
      <w:bookmarkStart w:name="h-68909-content1" w:id="65"/>
      <w:r>
        <w:rPr/>
        <w:t xml:space="preserve">Tests</w:t>
      </w:r>
      <w:bookmarkEnd w:id="65"/>
    </w:p>
    <w:bookmarkEnd w:id="64"/>
    <w:bookmarkStart w:name="f-68909-content2" w:id="66"/>
    <w:bookmarkStart w:name="f-100491" w:id="67"/>
    <w:bookmarkStart w:name="f-100491-1" w:id="68"/>
    <w:p>
      <w:pPr>
        <w:pStyle w:val="Instructions"/>
      </w:pPr>
      <w:r>
        <w:rPr>
          <w:i/>
        </w:rPr>
        <w:t xml:space="preserve">0171 General requirements</w:t>
      </w:r>
      <w:r>
        <w:rPr/>
        <w:t xml:space="preserve"> defines different tests in </w:t>
      </w:r>
      <w:hyperlink w:anchor="f-88684" w:history="1">
        <w:r>
          <w:rPr>
            <w:rStyle w:val="DefaultParagraphFont"/>
            <w:b/>
          </w:rPr>
          <w:t>INTERPRETATION</w:t>
        </w:r>
      </w:hyperlink>
      <w:r>
        <w:rPr/>
        <w:t xml:space="preserve">, </w:t>
      </w:r>
      <w:r>
        <w:rPr>
          <w:rStyle w:val="DefaultParagraphFont"/>
          <w:b/>
        </w:rPr>
        <w:t xml:space="preserve">Definitions</w:t>
      </w:r>
      <w:r>
        <w:rPr/>
        <w:t xml:space="preserve"> and calls for an inspection and testing plan in </w:t>
      </w:r>
      <w:r>
        <w:rPr>
          <w:rStyle w:val="DefaultParagraphFont"/>
          <w:b/>
        </w:rPr>
        <w:t xml:space="preserve">TESTING - GENERALLY</w:t>
      </w:r>
      <w:r>
        <w:rPr/>
        <w:t xml:space="preserve">, </w:t>
      </w:r>
      <w:r>
        <w:rPr>
          <w:rStyle w:val="DefaultParagraphFont"/>
          <w:b/>
        </w:rPr>
        <w:t xml:space="preserve">Inspection and testing plan</w:t>
      </w:r>
      <w:r>
        <w:rPr/>
        <w:t xml:space="preserve">. </w:t>
      </w:r>
    </w:p>
    <w:bookmarkEnd w:id="68"/>
    <w:bookmarkEnd w:id="67"/>
    <w:bookmarkEnd w:id="66"/>
    <w:bookmarkStart w:name="f-68909-content3" w:id="69"/>
    <w:p>
      <w:pPr>
        <w:pStyle w:val="Normal"/>
      </w:pPr>
      <w:r>
        <w:rPr/>
        <w:t xml:space="preserve">General: Submit test reports as follows:</w:t>
      </w:r>
    </w:p>
    <w:p>
      <w:pPr>
        <w:pStyle w:val="NormalIndent"/>
      </w:pPr>
      <w:r>
        <w:rPr/>
        <w:t xml:space="preserve">Sealed batteries test report.</w:t>
      </w:r>
    </w:p>
    <w:p>
      <w:pPr>
        <w:pStyle w:val="NormalIndent"/>
      </w:pPr>
      <w:r>
        <w:rPr/>
        <w:t xml:space="preserve">Commissioning test report.</w:t>
      </w:r>
    </w:p>
    <w:p>
      <w:pPr>
        <w:pStyle w:val="NormalIndent"/>
      </w:pPr>
      <w:r>
        <w:rPr/>
        <w:t xml:space="preserve">System installer’s statement.</w:t>
      </w:r>
    </w:p>
    <w:p>
      <w:pPr>
        <w:pStyle w:val="NormalIndent"/>
      </w:pPr>
      <w:r>
        <w:rPr/>
        <w:t xml:space="preserve">System test certificates.</w:t>
      </w:r>
    </w:p>
    <w:p>
      <w:pPr>
        <w:pStyle w:val="NormalIndent"/>
      </w:pPr>
      <w:r>
        <w:rPr/>
        <w:t xml:space="preserve">System information in the forms provided in AS 1670.4.</w:t>
      </w:r>
    </w:p>
    <w:bookmarkEnd w:id="69"/>
    <w:bookmarkStart w:name="f-68909-content4" w:id="70"/>
    <w:bookmarkStart w:name="f-100493" w:id="71"/>
    <w:bookmarkStart w:name="f-100493-1" w:id="72"/>
    <w:p>
      <w:pPr>
        <w:pStyle w:val="Instructions"/>
      </w:pPr>
      <w:r>
        <w:rPr/>
        <w:t xml:space="preserve">Detail the tests required in PRODUCTS or EXECUTION, as appropriate, and list the submissions required here.</w:t>
      </w:r>
    </w:p>
    <w:bookmarkEnd w:id="72"/>
    <w:bookmarkEnd w:id="71"/>
    <w:bookmarkEnd w:id="70"/>
    <w:bookmarkEnd w:id="63"/>
    <w:bookmarkStart w:name="f-77077-content" w:id="73"/>
    <w:p>
      <w:pPr>
        <w:pStyle w:val="Heading2"/>
      </w:pPr>
      <w:bookmarkStart w:name="h-77077-content" w:id="74"/>
      <w:r>
        <w:rPr/>
        <w:t xml:space="preserve">Products</w:t>
      </w:r>
      <w:bookmarkEnd w:id="74"/>
    </w:p>
    <w:bookmarkEnd w:id="73"/>
    <w:bookmarkStart w:name="f-93148-content" w:id="75"/>
    <w:p>
      <w:pPr>
        <w:pStyle w:val="Heading3"/>
      </w:pPr>
      <w:bookmarkStart w:name="h-93148-content" w:id="76"/>
      <w:r>
        <w:rPr/>
        <w:t xml:space="preserve">Control and indicating equipment (CIE)</w:t>
      </w:r>
      <w:bookmarkEnd w:id="76"/>
    </w:p>
    <w:bookmarkEnd w:id="75"/>
    <w:bookmarkStart w:name="f-82648" w:id="77"/>
    <w:bookmarkStart w:name="f-82648-content1" w:id="78"/>
    <w:p>
      <w:pPr>
        <w:pStyle w:val="Heading4"/>
      </w:pPr>
      <w:bookmarkStart w:name="h-82648-content1" w:id="79"/>
      <w:r>
        <w:rPr/>
        <w:t xml:space="preserve">General</w:t>
      </w:r>
      <w:bookmarkEnd w:id="79"/>
    </w:p>
    <w:p>
      <w:pPr>
        <w:pStyle w:val="Instructions"/>
      </w:pPr>
      <w:r>
        <w:rPr/>
        <w:t xml:space="preserve">AS 1670.1 clause 2.2 requires that a Designated Building Entry Point (DBEP) be nominated for each building on the site. It further requires that, if multiple buildings exist on the site, a Designated Site Entry Point (DSEP) be nominated. On large sites the DSEP may be the fire control room.</w:t>
      </w:r>
    </w:p>
    <w:p>
      <w:pPr>
        <w:pStyle w:val="Instructions"/>
      </w:pPr>
      <w:r>
        <w:rPr/>
        <w:t xml:space="preserve">Where multiple buildings are monitored, at least one DSEP is to be provided on the site.</w:t>
      </w:r>
    </w:p>
    <w:p>
      <w:pPr>
        <w:pStyle w:val="Normal"/>
      </w:pPr>
      <w:r>
        <w:rPr/>
        <w:t xml:space="preserve">Type: Common unit for intercommunication and sound systems.</w:t>
      </w:r>
    </w:p>
    <w:bookmarkEnd w:id="78"/>
    <w:bookmarkStart w:name="f-82648-1" w:id="80"/>
    <w:p>
      <w:pPr>
        <w:pStyle w:val="Normal"/>
      </w:pPr>
      <w:r>
        <w:rPr/>
        <w:t xml:space="preserve">CIE panel: Provide metal cubicle-type enclosures at the DSEP, to AS 1670.1 and as documented.</w:t>
      </w:r>
    </w:p>
    <w:bookmarkEnd w:id="80"/>
    <w:bookmarkStart w:name="f-82648-2" w:id="81"/>
    <w:p>
      <w:pPr>
        <w:pStyle w:val="Normal"/>
      </w:pPr>
      <w:r>
        <w:rPr/>
        <w:t xml:space="preserve">Standard: To AS 1670.4.</w:t>
      </w:r>
    </w:p>
    <w:bookmarkEnd w:id="81"/>
    <w:bookmarkStart w:name="f-82648-3" w:id="82"/>
    <w:p>
      <w:pPr>
        <w:pStyle w:val="Normal"/>
      </w:pPr>
      <w:r>
        <w:rPr/>
        <w:t xml:space="preserve">Requirements:</w:t>
      </w:r>
    </w:p>
    <w:p>
      <w:pPr>
        <w:pStyle w:val="NormalIndent"/>
      </w:pPr>
      <w:r>
        <w:rPr/>
        <w:t xml:space="preserve">Provide visual indicators to show the status, including faults, of all essential elements and of input and output signals, including WIP handsets.</w:t>
      </w:r>
    </w:p>
    <w:p>
      <w:pPr>
        <w:pStyle w:val="NormalIndent"/>
      </w:pPr>
      <w:r>
        <w:rPr/>
        <w:t xml:space="preserve">Provide audible indication to signal active FBP input, low battery volts and WIP calling.</w:t>
      </w:r>
    </w:p>
    <w:p>
      <w:pPr>
        <w:pStyle w:val="NormalIndent"/>
      </w:pPr>
      <w:r>
        <w:rPr/>
        <w:t xml:space="preserve">Provide space within the panel for additional modules for up to 20% additional zones.</w:t>
      </w:r>
    </w:p>
    <w:bookmarkEnd w:id="82"/>
    <w:bookmarkEnd w:id="77"/>
    <w:bookmarkStart w:name="f-199773" w:id="83"/>
    <w:bookmarkStart w:name="f-199773-1" w:id="84"/>
    <w:p>
      <w:pPr>
        <w:pStyle w:val="Heading4"/>
      </w:pPr>
      <w:bookmarkStart w:name="h-199773-1" w:id="85"/>
      <w:r>
        <w:rPr/>
        <w:t xml:space="preserve">Emergency Warning and Intercommunication System (EWIS)</w:t>
      </w:r>
      <w:bookmarkEnd w:id="85"/>
    </w:p>
    <w:p>
      <w:pPr>
        <w:pStyle w:val="Normal"/>
      </w:pPr>
      <w:r>
        <w:rPr/>
        <w:t xml:space="preserve">Standard: To AS 1670.4. </w:t>
      </w:r>
    </w:p>
    <w:bookmarkEnd w:id="84"/>
    <w:bookmarkStart w:name="f-199773-2" w:id="86"/>
    <w:p>
      <w:pPr>
        <w:pStyle w:val="Normal"/>
      </w:pPr>
      <w:r>
        <w:rPr/>
        <w:t xml:space="preserve">Emergency control panel (ECP): Provide an ECP as a combined Emergency Warning System (EWS) and Emergency Intercommunication System (EIS), as documented.</w:t>
      </w:r>
    </w:p>
    <w:bookmarkEnd w:id="86"/>
    <w:bookmarkStart w:name="f-199773-3" w:id="87"/>
    <w:p>
      <w:pPr>
        <w:pStyle w:val="Normal"/>
      </w:pPr>
      <w:r>
        <w:rPr/>
        <w:t xml:space="preserve">Requirement: Provide the following:</w:t>
      </w:r>
    </w:p>
    <w:p>
      <w:pPr>
        <w:pStyle w:val="NormalIndent"/>
      </w:pPr>
      <w:r>
        <w:rPr/>
        <w:t xml:space="preserve">An onsite programmable system, via a laptop input port.  </w:t>
      </w:r>
    </w:p>
    <w:p>
      <w:pPr>
        <w:pStyle w:val="NormalIndent"/>
      </w:pPr>
      <w:r>
        <w:rPr/>
        <w:t xml:space="preserve">All audible signals, selected at the amplifiers input via CMOS or similar DC switching logic.</w:t>
      </w:r>
    </w:p>
    <w:p>
      <w:pPr>
        <w:pStyle w:val="NormalIndent"/>
      </w:pPr>
      <w:r>
        <w:rPr/>
        <w:t xml:space="preserve">Automatic changeover facility as appropriate for remote public address announcements and emergency activation from master ECP.</w:t>
      </w:r>
    </w:p>
    <w:p>
      <w:pPr>
        <w:pStyle w:val="NormalIndent"/>
      </w:pPr>
      <w:r>
        <w:rPr/>
        <w:t xml:space="preserve">Programmable automatic mode operation.</w:t>
      </w:r>
    </w:p>
    <w:p>
      <w:pPr>
        <w:pStyle w:val="NormalIndent"/>
      </w:pPr>
      <w:r>
        <w:rPr/>
        <w:t xml:space="preserve">Alarm signals from the FDCIE to initiate alert signals to the corresponding evacuation zones and to other designated zones.</w:t>
      </w:r>
    </w:p>
    <w:p>
      <w:pPr>
        <w:pStyle w:val="NormalIndent"/>
      </w:pPr>
      <w:r>
        <w:rPr/>
        <w:t xml:space="preserve">Activation of fire alarm manual call point or emergency call point (via FDCIE) where documented, to initiate delivery of the alert signal to the corresponding evacuation zone and to other designated zones.</w:t>
      </w:r>
    </w:p>
    <w:p>
      <w:pPr>
        <w:pStyle w:val="NormalIndent"/>
      </w:pPr>
      <w:r>
        <w:rPr/>
        <w:t xml:space="preserve">Immediate delivery of evacuation signal to the corresponding alarm initiating zone via a further FDCIE alarm signal input.</w:t>
      </w:r>
    </w:p>
    <w:bookmarkEnd w:id="87"/>
    <w:bookmarkStart w:name="f-199773-4" w:id="88"/>
    <w:p>
      <w:pPr>
        <w:pStyle w:val="Normal"/>
      </w:pPr>
      <w:r>
        <w:rPr/>
        <w:t xml:space="preserve">Manual mode: Provide the following:</w:t>
      </w:r>
    </w:p>
    <w:p>
      <w:pPr>
        <w:pStyle w:val="NormalIndent"/>
      </w:pPr>
      <w:r>
        <w:rPr/>
        <w:t xml:space="preserve">Inhibit the automatic initiation of the emergency warning system.</w:t>
      </w:r>
    </w:p>
    <w:p>
      <w:pPr>
        <w:pStyle w:val="NormalIndent"/>
      </w:pPr>
      <w:r>
        <w:rPr/>
        <w:t xml:space="preserve">At the ECP incorporate control switches and indicators to manually initiate or reset the delivery of alert tone, evacuation tone and public address announcements to selected zones in any combination and to all zones at once. </w:t>
      </w:r>
    </w:p>
    <w:bookmarkEnd w:id="88"/>
    <w:bookmarkStart w:name="f-199773-5" w:id="89"/>
    <w:p>
      <w:pPr>
        <w:pStyle w:val="Normal"/>
      </w:pPr>
      <w:r>
        <w:rPr/>
        <w:t xml:space="preserve">Functional precedence: As follows:</w:t>
      </w:r>
    </w:p>
    <w:p>
      <w:pPr>
        <w:pStyle w:val="NormalIndent"/>
      </w:pPr>
      <w:r>
        <w:rPr/>
        <w:t xml:space="preserve">Public address announcement under emergency conditions from ECP.</w:t>
      </w:r>
    </w:p>
    <w:p>
      <w:pPr>
        <w:pStyle w:val="NormalIndent"/>
      </w:pPr>
      <w:r>
        <w:rPr/>
        <w:t xml:space="preserve">Evacuation tone and/or pre-recorded message.</w:t>
      </w:r>
    </w:p>
    <w:p>
      <w:pPr>
        <w:pStyle w:val="NormalIndent"/>
      </w:pPr>
      <w:r>
        <w:rPr/>
        <w:t xml:space="preserve">Alert tone and/or pre-recorded message.</w:t>
      </w:r>
    </w:p>
    <w:p>
      <w:pPr>
        <w:pStyle w:val="NormalIndent"/>
      </w:pPr>
      <w:r>
        <w:rPr/>
        <w:t xml:space="preserve">Normal public address announcements.</w:t>
      </w:r>
    </w:p>
    <w:bookmarkEnd w:id="89"/>
    <w:bookmarkStart w:name="f-199773-7" w:id="90"/>
    <w:p>
      <w:pPr>
        <w:pStyle w:val="Normal"/>
      </w:pPr>
      <w:r>
        <w:rPr/>
        <w:t xml:space="preserve">Secondary evacuation control panels (SECP): Provide SECP as documented and as follows:  </w:t>
      </w:r>
    </w:p>
    <w:p>
      <w:pPr>
        <w:pStyle w:val="NormalIndent"/>
      </w:pPr>
      <w:r>
        <w:rPr/>
        <w:t xml:space="preserve">Identical to the ECP with all control and monitoring functions. Provide the facility to override all SECP functions on the ECP.</w:t>
      </w:r>
    </w:p>
    <w:bookmarkEnd w:id="90"/>
    <w:bookmarkEnd w:id="83"/>
    <w:bookmarkStart w:name="f-199774" w:id="91"/>
    <w:bookmarkStart w:name="f-199774-1" w:id="92"/>
    <w:p>
      <w:pPr>
        <w:pStyle w:val="Heading3"/>
      </w:pPr>
      <w:bookmarkStart w:name="h-199774-1" w:id="93"/>
      <w:r>
        <w:rPr/>
        <w:t xml:space="preserve">Warden intercom points (WIP)</w:t>
      </w:r>
      <w:bookmarkEnd w:id="93"/>
    </w:p>
    <w:bookmarkEnd w:id="92"/>
    <w:bookmarkEnd w:id="91"/>
    <w:bookmarkStart w:name="f-199775" w:id="94"/>
    <w:bookmarkStart w:name="f-199775-1" w:id="95"/>
    <w:p>
      <w:pPr>
        <w:pStyle w:val="Heading4"/>
      </w:pPr>
      <w:bookmarkStart w:name="h-199775-1" w:id="96"/>
      <w:r>
        <w:rPr/>
        <w:t xml:space="preserve">General</w:t>
      </w:r>
      <w:bookmarkEnd w:id="96"/>
    </w:p>
    <w:p>
      <w:pPr>
        <w:pStyle w:val="Normal"/>
      </w:pPr>
      <w:r>
        <w:rPr/>
        <w:t xml:space="preserve">Standard: To AS 4428.4.</w:t>
      </w:r>
    </w:p>
    <w:bookmarkEnd w:id="95"/>
    <w:bookmarkStart w:name="f-199775-2" w:id="97"/>
    <w:p>
      <w:pPr>
        <w:pStyle w:val="Normal"/>
      </w:pPr>
      <w:r>
        <w:rPr/>
        <w:t xml:space="preserve">Requirement: Provide WIP, as documented.</w:t>
      </w:r>
    </w:p>
    <w:bookmarkEnd w:id="97"/>
    <w:bookmarkStart w:name="f-199775-3" w:id="98"/>
    <w:p>
      <w:pPr>
        <w:pStyle w:val="Normal"/>
      </w:pPr>
      <w:r>
        <w:rPr/>
        <w:t xml:space="preserve">WIP handsets: Wall mounted and coloured red.</w:t>
      </w:r>
    </w:p>
    <w:bookmarkEnd w:id="98"/>
    <w:bookmarkEnd w:id="94"/>
    <w:bookmarkStart w:name="f-76335-content" w:id="99"/>
    <w:p>
      <w:pPr>
        <w:pStyle w:val="Heading3"/>
      </w:pPr>
      <w:bookmarkStart w:name="h-76335-content" w:id="100"/>
      <w:r>
        <w:rPr/>
        <w:t xml:space="preserve">Sound system</w:t>
      </w:r>
      <w:bookmarkEnd w:id="100"/>
    </w:p>
    <w:bookmarkEnd w:id="99"/>
    <w:bookmarkStart w:name="f-75594" w:id="101"/>
    <w:bookmarkStart w:name="f-75594-content1" w:id="102"/>
    <w:p>
      <w:pPr>
        <w:pStyle w:val="Heading4"/>
      </w:pPr>
      <w:bookmarkStart w:name="h-75594-content1" w:id="103"/>
      <w:r>
        <w:rPr/>
        <w:t xml:space="preserve">System</w:t>
      </w:r>
      <w:bookmarkEnd w:id="103"/>
    </w:p>
    <w:p>
      <w:pPr>
        <w:pStyle w:val="Normal"/>
      </w:pPr>
      <w:r>
        <w:rPr/>
        <w:t xml:space="preserve">Type: 100 volt.</w:t>
      </w:r>
    </w:p>
    <w:p>
      <w:pPr>
        <w:pStyle w:val="Normal"/>
      </w:pPr>
      <w:r>
        <w:rPr/>
        <w:t xml:space="preserve">Zoning: ≥ 1 per building, level and fire zone.</w:t>
      </w:r>
    </w:p>
    <w:p>
      <w:pPr>
        <w:pStyle w:val="Normal"/>
      </w:pPr>
      <w:r>
        <w:rPr/>
        <w:t xml:space="preserve">Signal source: Automatic and local microphone at CIE.</w:t>
      </w:r>
    </w:p>
    <w:p>
      <w:pPr>
        <w:pStyle w:val="Instructions"/>
      </w:pPr>
      <w:r>
        <w:rPr/>
        <w:t xml:space="preserve">Document and schedule additional automatic voice messages which may be required.</w:t>
      </w:r>
    </w:p>
    <w:p>
      <w:pPr>
        <w:pStyle w:val="Instructions"/>
      </w:pPr>
      <w:r>
        <w:rPr/>
        <w:t xml:space="preserve">Document any additional microphone requirements and their location, i.e. emergency management room or general office location for public address initiation.</w:t>
      </w:r>
    </w:p>
    <w:bookmarkEnd w:id="102"/>
    <w:bookmarkEnd w:id="101"/>
    <w:bookmarkStart w:name="f-89720" w:id="104"/>
    <w:bookmarkStart w:name="f-89720-content1" w:id="105"/>
    <w:p>
      <w:pPr>
        <w:pStyle w:val="Heading4"/>
      </w:pPr>
      <w:bookmarkStart w:name="h-89720-content1" w:id="106"/>
      <w:r>
        <w:rPr/>
        <w:t xml:space="preserve">Amplifiers</w:t>
      </w:r>
      <w:bookmarkEnd w:id="106"/>
    </w:p>
    <w:p>
      <w:pPr>
        <w:pStyle w:val="Normal"/>
      </w:pPr>
      <w:r>
        <w:rPr/>
        <w:t xml:space="preserve">Selection: Select and adjust to meet performance requirements.</w:t>
      </w:r>
    </w:p>
    <w:p>
      <w:pPr>
        <w:pStyle w:val="Normal"/>
      </w:pPr>
      <w:r>
        <w:rPr/>
        <w:t xml:space="preserve">Type: 100 volt, solid state design, plug-in modular card type units with transformer coupled output.</w:t>
      </w:r>
    </w:p>
    <w:p>
      <w:pPr>
        <w:pStyle w:val="Normal"/>
      </w:pPr>
      <w:r>
        <w:rPr/>
        <w:t xml:space="preserve">Output level: Fully adjustable from pre-set controls on each circuit board.</w:t>
      </w:r>
    </w:p>
    <w:p>
      <w:pPr>
        <w:pStyle w:val="Normal"/>
      </w:pPr>
      <w:r>
        <w:rPr/>
        <w:t xml:space="preserve">Power bandwidth: 300 Hz to 10 kHz ± 3 dB.</w:t>
      </w:r>
    </w:p>
    <w:p>
      <w:pPr>
        <w:pStyle w:val="Normal"/>
      </w:pPr>
      <w:r>
        <w:rPr/>
        <w:t xml:space="preserve">Distortion: ≤ 2% at any point within its power rating and specified bandwidth.</w:t>
      </w:r>
    </w:p>
    <w:p>
      <w:pPr>
        <w:pStyle w:val="Normal"/>
      </w:pPr>
      <w:r>
        <w:rPr/>
        <w:t xml:space="preserve">Signal to noise ratio: ≥ 60 dB.</w:t>
      </w:r>
    </w:p>
    <w:p>
      <w:pPr>
        <w:pStyle w:val="Normal"/>
      </w:pPr>
      <w:r>
        <w:rPr/>
        <w:t xml:space="preserve">Line output voltage regulation: ± 1 dB from full load to no load.</w:t>
      </w:r>
    </w:p>
    <w:p>
      <w:pPr>
        <w:pStyle w:val="Normal"/>
      </w:pPr>
      <w:r>
        <w:rPr/>
        <w:t xml:space="preserve">Power supply: Power supply to each amplifier to be separately fuse protected on each card.</w:t>
      </w:r>
    </w:p>
    <w:p>
      <w:pPr>
        <w:pStyle w:val="Normal"/>
      </w:pPr>
      <w:r>
        <w:rPr/>
        <w:t xml:space="preserve">Quantity: ≥ 1 per zone.</w:t>
      </w:r>
    </w:p>
    <w:p>
      <w:pPr>
        <w:pStyle w:val="Normal"/>
      </w:pPr>
      <w:r>
        <w:rPr/>
        <w:t xml:space="preserve">Capacity: Each amplifier to have 30% spare load capacity.</w:t>
      </w:r>
    </w:p>
    <w:p>
      <w:pPr>
        <w:pStyle w:val="Normal"/>
      </w:pPr>
      <w:r>
        <w:rPr/>
        <w:t xml:space="preserve">Non-emergency input terminals: ≥ 1 per amplifier.</w:t>
      </w:r>
    </w:p>
    <w:p>
      <w:pPr>
        <w:pStyle w:val="Normal"/>
      </w:pPr>
      <w:r>
        <w:rPr/>
        <w:t xml:space="preserve">Location: Within CIE.</w:t>
      </w:r>
    </w:p>
    <w:p>
      <w:pPr>
        <w:pStyle w:val="Instructions"/>
      </w:pPr>
      <w:r>
        <w:rPr/>
        <w:t xml:space="preserve">If the sound system is to be used for public address purposes it may be necessary to specify alternative performance characteristics for music as well as voice, as well as provisions for additional microphones and music sources.</w:t>
      </w:r>
    </w:p>
    <w:bookmarkEnd w:id="105"/>
    <w:bookmarkEnd w:id="104"/>
    <w:bookmarkStart w:name="f-82567" w:id="107"/>
    <w:bookmarkStart w:name="f-82567-content1" w:id="108"/>
    <w:p>
      <w:pPr>
        <w:pStyle w:val="Heading4"/>
      </w:pPr>
      <w:bookmarkStart w:name="h-82567-content1" w:id="109"/>
      <w:r>
        <w:rPr/>
        <w:t xml:space="preserve">Speakers</w:t>
      </w:r>
      <w:bookmarkEnd w:id="109"/>
    </w:p>
    <w:p>
      <w:pPr>
        <w:pStyle w:val="Normal"/>
      </w:pPr>
      <w:r>
        <w:rPr/>
        <w:t xml:space="preserve">Standard: To AS ISO 7240.24.</w:t>
      </w:r>
    </w:p>
    <w:p>
      <w:pPr>
        <w:pStyle w:val="Normal"/>
      </w:pPr>
      <w:r>
        <w:rPr/>
        <w:t xml:space="preserve">Selection: Select and adjust to meet performance requirements.</w:t>
      </w:r>
    </w:p>
    <w:p>
      <w:pPr>
        <w:pStyle w:val="Normal"/>
      </w:pPr>
      <w:r>
        <w:rPr/>
        <w:t xml:space="preserve">Quantity: Provide additional loudspeakers as necessary to achieve the documented system performance.</w:t>
      </w:r>
    </w:p>
    <w:p>
      <w:pPr>
        <w:pStyle w:val="Normal"/>
      </w:pPr>
      <w:r>
        <w:rPr/>
        <w:t xml:space="preserve">Type: Tapped 100 volt.</w:t>
      </w:r>
    </w:p>
    <w:p>
      <w:pPr>
        <w:pStyle w:val="Normal"/>
      </w:pPr>
      <w:r>
        <w:rPr/>
        <w:t xml:space="preserve">Ceiling speakers: Requirements, as follows:</w:t>
      </w:r>
    </w:p>
    <w:p>
      <w:pPr>
        <w:pStyle w:val="NormalIndent"/>
      </w:pPr>
      <w:r>
        <w:rPr/>
        <w:t xml:space="preserve">200 mm maximum diameter.</w:t>
      </w:r>
    </w:p>
    <w:p>
      <w:pPr>
        <w:pStyle w:val="NormalIndent"/>
      </w:pPr>
      <w:r>
        <w:rPr/>
        <w:t xml:space="preserve">5 W minimum rated capacity.</w:t>
      </w:r>
    </w:p>
    <w:p>
      <w:pPr>
        <w:pStyle w:val="NormalIndent"/>
      </w:pPr>
      <w:r>
        <w:rPr/>
        <w:t xml:space="preserve">Minimum frequency response: 150 Hz - 10 kHz +/- 3 dB.</w:t>
      </w:r>
    </w:p>
    <w:p>
      <w:pPr>
        <w:pStyle w:val="NormalIndent"/>
      </w:pPr>
      <w:r>
        <w:rPr/>
        <w:t xml:space="preserve">Minimum SPL: 89 dB at 1 m per watt at 1 kHz.</w:t>
      </w:r>
    </w:p>
    <w:p>
      <w:pPr>
        <w:pStyle w:val="NormalIndent"/>
      </w:pPr>
      <w:r>
        <w:rPr/>
        <w:t xml:space="preserve">Rated input voltage: 100 V.</w:t>
      </w:r>
    </w:p>
    <w:p>
      <w:pPr>
        <w:pStyle w:val="NormalIndent"/>
      </w:pPr>
      <w:r>
        <w:rPr/>
        <w:t xml:space="preserve">1.25 W minimum tapping setting.</w:t>
      </w:r>
    </w:p>
    <w:p>
      <w:pPr>
        <w:pStyle w:val="NormalIndent"/>
      </w:pPr>
      <w:r>
        <w:rPr/>
        <w:t xml:space="preserve">To have grille, matching ceiling colour.</w:t>
      </w:r>
    </w:p>
    <w:p>
      <w:pPr>
        <w:pStyle w:val="Normal"/>
      </w:pPr>
      <w:r>
        <w:rPr/>
        <w:t xml:space="preserve">Horn Speaker: Requirements, as follows:</w:t>
      </w:r>
    </w:p>
    <w:p>
      <w:pPr>
        <w:pStyle w:val="NormalIndent"/>
      </w:pPr>
      <w:r>
        <w:rPr/>
        <w:t xml:space="preserve">200 mm maximum diameter at open end.</w:t>
      </w:r>
    </w:p>
    <w:p>
      <w:pPr>
        <w:pStyle w:val="NormalIndent"/>
      </w:pPr>
      <w:r>
        <w:rPr/>
        <w:t xml:space="preserve">10 W minimum rated capacity.</w:t>
      </w:r>
    </w:p>
    <w:p>
      <w:pPr>
        <w:pStyle w:val="NormalIndent"/>
      </w:pPr>
      <w:r>
        <w:rPr/>
        <w:t xml:space="preserve">Minimum frequency response: 300 Hz – 10 kHz +/- 3 dB.</w:t>
      </w:r>
    </w:p>
    <w:p>
      <w:pPr>
        <w:pStyle w:val="NormalIndent"/>
      </w:pPr>
      <w:r>
        <w:rPr/>
        <w:t xml:space="preserve">Minimum SPL: 100 dB at 1m per watt at 1 kHz.</w:t>
      </w:r>
    </w:p>
    <w:p>
      <w:pPr>
        <w:pStyle w:val="NormalIndent"/>
      </w:pPr>
      <w:r>
        <w:rPr/>
        <w:t xml:space="preserve">Rated input voltage: 100 V.</w:t>
      </w:r>
    </w:p>
    <w:p>
      <w:pPr>
        <w:pStyle w:val="NormalIndent"/>
      </w:pPr>
      <w:r>
        <w:rPr/>
        <w:t xml:space="preserve">5 W minimum tapping setting.</w:t>
      </w:r>
    </w:p>
    <w:bookmarkEnd w:id="108"/>
    <w:bookmarkEnd w:id="107"/>
    <w:bookmarkStart w:name="f-98125" w:id="110"/>
    <w:bookmarkStart w:name="f-98125-content1" w:id="111"/>
    <w:p>
      <w:pPr>
        <w:pStyle w:val="Heading4"/>
      </w:pPr>
      <w:bookmarkStart w:name="h-98125-content1" w:id="112"/>
      <w:r>
        <w:rPr/>
        <w:t xml:space="preserve">Emergency call points</w:t>
      </w:r>
      <w:bookmarkEnd w:id="112"/>
    </w:p>
    <w:p>
      <w:pPr>
        <w:pStyle w:val="Normal"/>
      </w:pPr>
      <w:r>
        <w:rPr/>
        <w:t xml:space="preserve">General: Required.</w:t>
      </w:r>
    </w:p>
    <w:p>
      <w:pPr>
        <w:pStyle w:val="Instructions"/>
      </w:pPr>
      <w:r>
        <w:rPr/>
        <w:t xml:space="preserve">Amend if manual call points connected to the fire detection system are installed.</w:t>
      </w:r>
    </w:p>
    <w:bookmarkEnd w:id="111"/>
    <w:bookmarkEnd w:id="110"/>
    <w:bookmarkStart w:name="f-83835" w:id="113"/>
    <w:bookmarkStart w:name="f-83835-content" w:id="114"/>
    <w:p>
      <w:pPr>
        <w:pStyle w:val="Heading3"/>
      </w:pPr>
      <w:bookmarkStart w:name="h-83835-content" w:id="115"/>
      <w:r>
        <w:rPr/>
        <w:t xml:space="preserve">Power supply</w:t>
      </w:r>
      <w:bookmarkEnd w:id="115"/>
    </w:p>
    <w:bookmarkEnd w:id="114"/>
    <w:bookmarkEnd w:id="113"/>
    <w:bookmarkStart w:name="f-199776" w:id="116"/>
    <w:bookmarkStart w:name="f-199776-1" w:id="117"/>
    <w:p>
      <w:pPr>
        <w:pStyle w:val="Heading4"/>
      </w:pPr>
      <w:bookmarkStart w:name="h-199776-1" w:id="118"/>
      <w:r>
        <w:rPr/>
        <w:t xml:space="preserve">General</w:t>
      </w:r>
      <w:bookmarkEnd w:id="118"/>
    </w:p>
    <w:p>
      <w:pPr>
        <w:pStyle w:val="Normal"/>
      </w:pPr>
      <w:r>
        <w:rPr/>
        <w:t xml:space="preserve">Primary and secondary power source: To AS 1670.4.</w:t>
      </w:r>
    </w:p>
    <w:bookmarkEnd w:id="117"/>
    <w:bookmarkEnd w:id="116"/>
    <w:bookmarkStart w:name="f-92521-content" w:id="119"/>
    <w:p>
      <w:pPr>
        <w:pStyle w:val="Heading2"/>
      </w:pPr>
      <w:bookmarkStart w:name="h-92521-content" w:id="120"/>
      <w:r>
        <w:rPr/>
        <w:t xml:space="preserve">Execution</w:t>
      </w:r>
      <w:bookmarkEnd w:id="120"/>
    </w:p>
    <w:bookmarkEnd w:id="119"/>
    <w:bookmarkStart w:name="f-2_85531-content" w:id="121"/>
    <w:p>
      <w:pPr>
        <w:pStyle w:val="Heading3"/>
      </w:pPr>
      <w:bookmarkStart w:name="h-2_85531-content" w:id="122"/>
      <w:r>
        <w:rPr/>
        <w:t xml:space="preserve">General</w:t>
      </w:r>
      <w:bookmarkEnd w:id="122"/>
    </w:p>
    <w:bookmarkEnd w:id="121"/>
    <w:bookmarkStart w:name="f-199777" w:id="123"/>
    <w:bookmarkStart w:name="f-199777-1" w:id="124"/>
    <w:p>
      <w:pPr>
        <w:pStyle w:val="Heading4"/>
      </w:pPr>
      <w:bookmarkStart w:name="h-199777-1" w:id="125"/>
      <w:r>
        <w:rPr/>
        <w:t xml:space="preserve">Cabling and wiring</w:t>
      </w:r>
      <w:bookmarkEnd w:id="125"/>
    </w:p>
    <w:p>
      <w:pPr>
        <w:pStyle w:val="Normal"/>
      </w:pPr>
      <w:r>
        <w:rPr/>
        <w:t xml:space="preserve">General: Install cabling and wiring to AS 1670, AS/NZS 3000 and AS/CA S009.</w:t>
      </w:r>
    </w:p>
    <w:bookmarkEnd w:id="124"/>
    <w:bookmarkEnd w:id="123"/>
    <w:bookmarkStart w:name="f-199778" w:id="126"/>
    <w:bookmarkStart w:name="f-199778-1" w:id="127"/>
    <w:p>
      <w:pPr>
        <w:pStyle w:val="Heading4"/>
      </w:pPr>
      <w:bookmarkStart w:name="h-199778-1" w:id="128"/>
      <w:r>
        <w:rPr/>
        <w:t xml:space="preserve">Warning lights</w:t>
      </w:r>
      <w:bookmarkEnd w:id="128"/>
    </w:p>
    <w:p>
      <w:pPr>
        <w:pStyle w:val="Normal"/>
      </w:pPr>
      <w:r>
        <w:rPr/>
        <w:t xml:space="preserve">Requirement: Provide flashing warning lights in plantrooms, where ambient noise levels are expected to be high, and in public areas, as documented.</w:t>
      </w:r>
    </w:p>
    <w:bookmarkEnd w:id="127"/>
    <w:bookmarkEnd w:id="126"/>
    <w:bookmarkStart w:name="f-2_93148-content" w:id="129"/>
    <w:p>
      <w:pPr>
        <w:pStyle w:val="Heading3"/>
      </w:pPr>
      <w:bookmarkStart w:name="h-2_93148-content" w:id="130"/>
      <w:r>
        <w:rPr/>
        <w:t xml:space="preserve">Control and indicating equipment (CIE)</w:t>
      </w:r>
      <w:bookmarkEnd w:id="130"/>
    </w:p>
    <w:bookmarkEnd w:id="129"/>
    <w:bookmarkStart w:name="f-64853" w:id="131"/>
    <w:bookmarkStart w:name="f-64853-content1" w:id="132"/>
    <w:p>
      <w:pPr>
        <w:pStyle w:val="Heading4"/>
      </w:pPr>
      <w:bookmarkStart w:name="h-64853-content1" w:id="133"/>
      <w:r>
        <w:rPr/>
        <w:t xml:space="preserve">General</w:t>
      </w:r>
      <w:bookmarkEnd w:id="133"/>
    </w:p>
    <w:p>
      <w:pPr>
        <w:pStyle w:val="Normal"/>
      </w:pPr>
      <w:r>
        <w:rPr/>
        <w:t xml:space="preserve">Mounting: Flush mount in location, as documented.</w:t>
      </w:r>
    </w:p>
    <w:bookmarkEnd w:id="132"/>
    <w:bookmarkStart w:name="f-64853-1" w:id="134"/>
    <w:p>
      <w:pPr>
        <w:pStyle w:val="Normal"/>
      </w:pPr>
      <w:r>
        <w:rPr/>
        <w:t xml:space="preserve">Enclosure: Coordinate with surrounding building works.</w:t>
      </w:r>
    </w:p>
    <w:bookmarkEnd w:id="134"/>
    <w:bookmarkEnd w:id="131"/>
    <w:bookmarkStart w:name="f-2_76335-content" w:id="135"/>
    <w:p>
      <w:pPr>
        <w:pStyle w:val="Heading3"/>
      </w:pPr>
      <w:bookmarkStart w:name="h-2_76335-content" w:id="136"/>
      <w:r>
        <w:rPr/>
        <w:t xml:space="preserve">Sound system</w:t>
      </w:r>
      <w:bookmarkEnd w:id="136"/>
    </w:p>
    <w:bookmarkEnd w:id="135"/>
    <w:bookmarkStart w:name="f-70090" w:id="137"/>
    <w:bookmarkStart w:name="f-70090-content1" w:id="138"/>
    <w:p>
      <w:pPr>
        <w:pStyle w:val="Heading4"/>
      </w:pPr>
      <w:bookmarkStart w:name="h-70090-content1" w:id="139"/>
      <w:r>
        <w:rPr/>
        <w:t xml:space="preserve">Loudspeakers</w:t>
      </w:r>
      <w:bookmarkEnd w:id="139"/>
    </w:p>
    <w:p>
      <w:pPr>
        <w:pStyle w:val="Normal"/>
      </w:pPr>
      <w:r>
        <w:rPr/>
        <w:t xml:space="preserve">Mounting: Securely fix to building elements.</w:t>
      </w:r>
    </w:p>
    <w:p>
      <w:pPr>
        <w:pStyle w:val="Normal"/>
      </w:pPr>
      <w:r>
        <w:rPr/>
        <w:t xml:space="preserve">Flush mounting: Required in suspended ceilings.</w:t>
      </w:r>
    </w:p>
    <w:p>
      <w:pPr>
        <w:pStyle w:val="Instructions"/>
      </w:pPr>
      <w:r>
        <w:rPr/>
        <w:t xml:space="preserve">In lift cars the lift contractor usually installs the speakers supplied by the EWIS contractor.</w:t>
      </w:r>
    </w:p>
    <w:p>
      <w:pPr>
        <w:pStyle w:val="Normal"/>
      </w:pPr>
      <w:r>
        <w:rPr/>
        <w:t xml:space="preserve">Wall mounting: 150 mm below finished ceiling level to top of speaker enclosure.</w:t>
      </w:r>
    </w:p>
    <w:p>
      <w:pPr>
        <w:pStyle w:val="Instructions"/>
      </w:pPr>
      <w:r>
        <w:rPr/>
        <w:t xml:space="preserve">Check default with the architect.</w:t>
      </w:r>
    </w:p>
    <w:bookmarkEnd w:id="138"/>
    <w:bookmarkEnd w:id="137"/>
    <w:bookmarkStart w:name="f-67425-content" w:id="140"/>
    <w:p>
      <w:pPr>
        <w:pStyle w:val="Heading3"/>
      </w:pPr>
      <w:bookmarkStart w:name="h-67425-content" w:id="141"/>
      <w:r>
        <w:rPr/>
        <w:t xml:space="preserve">Intercommunication system</w:t>
      </w:r>
      <w:bookmarkEnd w:id="141"/>
    </w:p>
    <w:bookmarkEnd w:id="140"/>
    <w:bookmarkStart w:name="f-70966" w:id="142"/>
    <w:bookmarkStart w:name="f-70966-content1" w:id="143"/>
    <w:p>
      <w:pPr>
        <w:pStyle w:val="Heading4"/>
      </w:pPr>
      <w:bookmarkStart w:name="h-70966-content1" w:id="144"/>
      <w:r>
        <w:rPr/>
        <w:t xml:space="preserve">Warden intercom points (WIP)</w:t>
      </w:r>
      <w:bookmarkEnd w:id="144"/>
    </w:p>
    <w:p>
      <w:pPr>
        <w:pStyle w:val="Normal"/>
      </w:pPr>
      <w:r>
        <w:rPr/>
        <w:t xml:space="preserve">Connection: Provide separate circuits for each WIP handset.</w:t>
      </w:r>
    </w:p>
    <w:p>
      <w:pPr>
        <w:pStyle w:val="Instructions"/>
      </w:pPr>
      <w:r>
        <w:rPr/>
        <w:t xml:space="preserve">Nominate height above floor. Locate in hydrant cupboards where next to fire stairs, for example, so as not to disrupt egress and communications.</w:t>
      </w:r>
    </w:p>
    <w:p>
      <w:pPr>
        <w:pStyle w:val="Normal"/>
      </w:pPr>
      <w:r>
        <w:rPr/>
        <w:t xml:space="preserve">Conferencing switching facilities: Permit the initiation of conference calls, between up to 5 warden intercom points, from any emergency control panel.</w:t>
      </w:r>
    </w:p>
    <w:p>
      <w:pPr>
        <w:pStyle w:val="Instructions"/>
      </w:pPr>
      <w:r>
        <w:rPr/>
        <w:t xml:space="preserve">See AS 4428.4 on warden intercom point (WIP) functions.</w:t>
      </w:r>
    </w:p>
    <w:p>
      <w:pPr>
        <w:pStyle w:val="Normal"/>
      </w:pPr>
      <w:r>
        <w:rPr/>
        <w:t xml:space="preserve">Lift cars: Provide a terminal block outside the lift motor room. Cable from the terminal block to central control equipment. Provide a WIP handset in each emergency lift car.</w:t>
      </w:r>
    </w:p>
    <w:p>
      <w:pPr>
        <w:pStyle w:val="Instructions"/>
      </w:pPr>
      <w:r>
        <w:rPr/>
        <w:t xml:space="preserve">Delete if not required. State if a separate fire brigade intercom is required. A package specification will usually require the EWIS contractor to supply the handsets and the lift contractor to install them.</w:t>
      </w:r>
    </w:p>
    <w:p>
      <w:pPr>
        <w:pStyle w:val="Instructions"/>
      </w:pPr>
      <w:r>
        <w:rPr/>
        <w:t xml:space="preserve">Make sure that the cabling from the terminal block to the lift cars is specified in </w:t>
      </w:r>
      <w:r>
        <w:rPr>
          <w:i/>
        </w:rPr>
        <w:t xml:space="preserve">2011 Lifts design and install</w:t>
      </w:r>
      <w:r>
        <w:rPr/>
        <w:t xml:space="preserve">.</w:t>
      </w:r>
    </w:p>
    <w:p>
      <w:pPr>
        <w:pStyle w:val="Instructions"/>
      </w:pPr>
      <w:r>
        <w:rPr/>
        <w:t xml:space="preserve">Marking: Circuit identification marking should be shown on the record drawings.</w:t>
      </w:r>
    </w:p>
    <w:bookmarkEnd w:id="143"/>
    <w:bookmarkEnd w:id="142"/>
    <w:bookmarkStart w:name="f-69396" w:id="145"/>
    <w:bookmarkStart w:name="f-69396-content1" w:id="146"/>
    <w:p>
      <w:pPr>
        <w:pStyle w:val="Heading3"/>
      </w:pPr>
      <w:bookmarkStart w:name="h-69396-content1" w:id="147"/>
      <w:r>
        <w:rPr/>
        <w:t xml:space="preserve">Commissioning</w:t>
      </w:r>
      <w:bookmarkEnd w:id="147"/>
    </w:p>
    <w:p>
      <w:pPr>
        <w:pStyle w:val="Instructions"/>
      </w:pPr>
      <w:r>
        <w:rPr/>
        <w:t xml:space="preserve">For information on the commissioning process refer to NATSPEC TECHnote GEN 020.</w:t>
      </w:r>
    </w:p>
    <w:bookmarkEnd w:id="146"/>
    <w:bookmarkEnd w:id="145"/>
    <w:bookmarkStart w:name="f-366702" w:id="148"/>
    <w:bookmarkStart w:name="f-366702-1" w:id="149"/>
    <w:p>
      <w:pPr>
        <w:pStyle w:val="Heading4"/>
      </w:pPr>
      <w:bookmarkStart w:name="h-366702-1" w:id="150"/>
      <w:r>
        <w:rPr/>
        <w:t xml:space="preserve">General</w:t>
      </w:r>
      <w:bookmarkEnd w:id="150"/>
    </w:p>
    <w:p>
      <w:pPr>
        <w:pStyle w:val="Normal"/>
      </w:pPr>
      <w:r>
        <w:rPr/>
        <w:t xml:space="preserve">Standard: Conform to the recommendations of AS 1670.4 Appendix A.</w:t>
      </w:r>
    </w:p>
    <w:p>
      <w:pPr>
        <w:pStyle w:val="Normal"/>
      </w:pPr>
      <w:r>
        <w:rPr/>
        <w:t xml:space="preserve">Manufacturer's recommendations: Commission to manufacturer's recommendations.</w:t>
      </w:r>
    </w:p>
    <w:bookmarkEnd w:id="149"/>
    <w:bookmarkEnd w:id="148"/>
    <w:bookmarkStart w:name="f-86677-content" w:id="151"/>
    <w:p>
      <w:pPr>
        <w:pStyle w:val="Heading3"/>
      </w:pPr>
      <w:bookmarkStart w:name="h-86677-content" w:id="152"/>
      <w:r>
        <w:rPr/>
        <w:t xml:space="preserve">Maintenance</w:t>
      </w:r>
      <w:bookmarkEnd w:id="152"/>
    </w:p>
    <w:bookmarkEnd w:id="151"/>
    <w:bookmarkStart w:name="f-79925" w:id="153"/>
    <w:bookmarkStart w:name="f-79925-content1" w:id="154"/>
    <w:p>
      <w:pPr>
        <w:pStyle w:val="Heading4"/>
      </w:pPr>
      <w:bookmarkStart w:name="h-79925-content1" w:id="155"/>
      <w:r>
        <w:rPr/>
        <w:t xml:space="preserve">Routine service process and procedures</w:t>
      </w:r>
      <w:bookmarkEnd w:id="155"/>
    </w:p>
    <w:p>
      <w:pPr>
        <w:pStyle w:val="Normal"/>
      </w:pPr>
      <w:r>
        <w:rPr/>
        <w:t xml:space="preserve">Requirements: To AS 1851 Section 6.</w:t>
      </w:r>
    </w:p>
    <w:p>
      <w:pPr>
        <w:pStyle w:val="Normal"/>
      </w:pPr>
      <w:r>
        <w:rPr/>
        <w:t xml:space="preserve">Manufacturer's recommendations: Conform to manufacturer's recommendations.</w:t>
      </w:r>
    </w:p>
    <w:bookmarkEnd w:id="154"/>
    <w:bookmarkEnd w:id="153"/>
    <w:bookmarkStart w:name="f-68073" w:id="156"/>
    <w:bookmarkStart w:name="f-68073-content" w:id="157"/>
    <w:p>
      <w:pPr>
        <w:pStyle w:val="Heading2"/>
      </w:pPr>
      <w:bookmarkStart w:name="h-68073-content" w:id="158"/>
      <w:r>
        <w:rPr/>
        <w:t xml:space="preserve">Selections</w:t>
      </w:r>
      <w:bookmarkEnd w:id="158"/>
    </w:p>
    <w:bookmarkEnd w:id="157"/>
    <w:bookmarkEnd w:id="156"/>
    <w:bookmarkStart w:name="f-99936" w:id="159"/>
    <w:bookmarkStart w:name="f-99936-2" w:id="160"/>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here and/or on the drawings with a matching product code. Refer to NATSPEC TECHnote GEN 024 for guidance on using and editing schedules.</w:t>
      </w:r>
    </w:p>
    <w:bookmarkEnd w:id="160"/>
    <w:bookmarkEnd w:id="159"/>
    <w:bookmarkStart w:name="f-67982-content" w:id="161"/>
    <w:p>
      <w:pPr>
        <w:pStyle w:val="Heading3"/>
      </w:pPr>
      <w:bookmarkStart w:name="h-67982-content" w:id="162"/>
      <w:r>
        <w:rPr/>
        <w:t xml:space="preserve">System description</w:t>
      </w:r>
      <w:bookmarkEnd w:id="162"/>
    </w:p>
    <w:bookmarkEnd w:id="161"/>
    <w:bookmarkStart w:name="f-89148" w:id="163"/>
    <w:bookmarkStart w:name="f-89148-content1" w:id="164"/>
    <w:p>
      <w:pPr>
        <w:pStyle w:val="Heading4"/>
      </w:pPr>
      <w:bookmarkStart w:name="h-89148-content1" w:id="165"/>
      <w:r>
        <w:rPr/>
        <w:t xml:space="preserve">System schedule</w:t>
      </w:r>
      <w:bookmarkEnd w:id="165"/>
    </w:p>
    <w:tbl>
      <w:tblGrid>
        <w:gridCol w:w="2500"/>
        <w:gridCol w:w="2500"/>
        <w:gridCol w:w="2500"/>
        <w:gridCol w:w="2500"/>
      </w:tblGrid>
      <w:tblPr>
        <w:tblStyle w:val="NATSPECTable"/>
        <w:tblW w:w="5000" w:type="pct"/>
        <w:tblLook w:val="05E0" w:firstRow="1" w:lastRow="0" w:firstColumn="0" w:lastColumn="0"/>
      </w:tblPr>
      <w:tr>
        <w:trPr>
          <w:tblHeader/>
        </w:trPr>
        <w:tc>
          <w:tcPr>
            <w:tcW w:w="2500" w:type="dxa"/>
          </w:tcPr>
          <w:p/>
        </w:tc>
        <w:tc>
          <w:tcPr>
            <w:tcW w:w="2500" w:type="dxa"/>
          </w:tcPr>
          <w:p>
            <w:pPr>
              <w:pStyle w:val="Tabletitle"/>
            </w:pPr>
            <w:r>
              <w:rPr/>
              <w:t xml:space="preserve">A</w:t>
            </w:r>
          </w:p>
        </w:tc>
        <w:tc>
          <w:tcPr>
            <w:tcW w:w="2500" w:type="dxa"/>
          </w:tcPr>
          <w:p>
            <w:pPr>
              <w:pStyle w:val="Tabletitle"/>
            </w:pPr>
            <w:r>
              <w:rPr/>
              <w:t xml:space="preserve">B</w:t>
            </w:r>
          </w:p>
        </w:tc>
        <w:tc>
          <w:tcPr>
            <w:tcW w:w="2500" w:type="dxa"/>
          </w:tcPr>
          <w:p>
            <w:pPr>
              <w:pStyle w:val="Tabletitle"/>
            </w:pPr>
            <w:r>
              <w:rPr/>
              <w:t xml:space="preserve">C</w:t>
            </w:r>
          </w:p>
        </w:tc>
      </w:tr>
      <w:tr>
        <w:tc>
          <w:tcPr>
            <w:tcW w:w="2500" w:type="dxa"/>
          </w:tcPr>
          <w:p>
            <w:pPr>
              <w:pStyle w:val="Tabletext"/>
            </w:pPr>
            <w:r>
              <w:rPr/>
              <w:t xml:space="preserve">Description</w:t>
            </w:r>
          </w:p>
        </w:tc>
        <w:tc>
          <w:tcPr>
            <w:tcW w:w="2500" w:type="dxa"/>
          </w:tcPr>
          <w:p/>
        </w:tc>
        <w:tc>
          <w:tcPr>
            <w:tcW w:w="2500" w:type="dxa"/>
          </w:tcPr>
          <w:p/>
        </w:tc>
        <w:tc>
          <w:tcPr>
            <w:tcW w:w="2500" w:type="dxa"/>
          </w:tcPr>
          <w:p/>
        </w:tc>
      </w:tr>
      <w:tr>
        <w:tc>
          <w:tcPr>
            <w:tcW w:w="2500" w:type="dxa"/>
          </w:tcPr>
          <w:p>
            <w:pPr>
              <w:pStyle w:val="Tabletext"/>
            </w:pPr>
            <w:r>
              <w:rPr/>
              <w:t xml:space="preserve">Interconnected systems</w:t>
            </w:r>
          </w:p>
        </w:tc>
        <w:tc>
          <w:tcPr>
            <w:tcW w:w="2500" w:type="dxa"/>
          </w:tcPr>
          <w:p/>
        </w:tc>
        <w:tc>
          <w:tcPr>
            <w:tcW w:w="2500" w:type="dxa"/>
          </w:tcPr>
          <w:p/>
        </w:tc>
        <w:tc>
          <w:tcPr>
            <w:tcW w:w="2500" w:type="dxa"/>
          </w:tcPr>
          <w:p/>
        </w:tc>
      </w:tr>
      <w:tr>
        <w:tc>
          <w:tcPr>
            <w:tcW w:w="2500" w:type="dxa"/>
          </w:tcPr>
          <w:p>
            <w:pPr>
              <w:pStyle w:val="Tabletext"/>
            </w:pPr>
            <w:r>
              <w:rPr/>
              <w:t xml:space="preserve">Interconnected system interfaces</w:t>
            </w:r>
          </w:p>
        </w:tc>
        <w:tc>
          <w:tcPr>
            <w:tcW w:w="2500" w:type="dxa"/>
          </w:tcPr>
          <w:p/>
        </w:tc>
        <w:tc>
          <w:tcPr>
            <w:tcW w:w="2500" w:type="dxa"/>
          </w:tcPr>
          <w:p/>
        </w:tc>
        <w:tc>
          <w:tcPr>
            <w:tcW w:w="2500" w:type="dxa"/>
          </w:tcPr>
          <w:p/>
        </w:tc>
      </w:tr>
      <w:tr>
        <w:tc>
          <w:tcPr>
            <w:tcW w:w="2500" w:type="dxa"/>
          </w:tcPr>
          <w:p>
            <w:pPr>
              <w:pStyle w:val="Tabletext"/>
            </w:pPr>
            <w:r>
              <w:rPr/>
              <w:t xml:space="preserve">Special provisions/dispensations</w:t>
            </w:r>
          </w:p>
        </w:tc>
        <w:tc>
          <w:tcPr>
            <w:tcW w:w="2500" w:type="dxa"/>
          </w:tcPr>
          <w:p/>
        </w:tc>
        <w:tc>
          <w:tcPr>
            <w:tcW w:w="2500" w:type="dxa"/>
          </w:tcPr>
          <w:p/>
        </w:tc>
        <w:tc>
          <w:tcPr>
            <w:tcW w:w="2500" w:type="dxa"/>
          </w:tcPr>
          <w:p/>
        </w:tc>
      </w:tr>
    </w:tbl>
    <w:p>
      <w:pPr>
        <w:pStyle w:val="Normal"/>
      </w:pPr>
      <w:r>
        <w:rPr/>
        <w:t xml:space="preserve"> </w:t>
      </w:r>
    </w:p>
    <w:bookmarkStart w:name="f-365815" w:id="166"/>
    <w:bookmarkStart w:name="f-365815-1" w:id="167"/>
    <w:p>
      <w:pPr>
        <w:pStyle w:val="Instructions"/>
      </w:pPr>
      <w:r>
        <w:rPr/>
        <w:t xml:space="preserve">The codes in the header row of the schedule designate each application or location of the item scheduled. Edit the codes to match those in other contract documents.</w:t>
      </w:r>
    </w:p>
    <w:bookmarkEnd w:id="167"/>
    <w:bookmarkEnd w:id="166"/>
    <w:p>
      <w:pPr>
        <w:pStyle w:val="Instructions"/>
      </w:pPr>
      <w:r>
        <w:rPr/>
        <w:t xml:space="preserve">Description: Describe the system required. In particular clarify whether it is only on OWS or alternatively a full EWIS.</w:t>
      </w:r>
    </w:p>
    <w:p>
      <w:pPr>
        <w:pStyle w:val="Instructions"/>
      </w:pPr>
      <w:r>
        <w:rPr/>
        <w:t xml:space="preserve">For contractual reasons this should not attempt to be a Scope of Work or to imply that it includes ALL work. Do not use vague blanket phrases like ‘and all other work necessary to compete the contract’.</w:t>
      </w:r>
    </w:p>
    <w:p>
      <w:pPr>
        <w:pStyle w:val="Instructions"/>
      </w:pPr>
      <w:r>
        <w:rPr/>
        <w:t xml:space="preserve">Interconnected systems: AS 1670.4 permits speakers used as alarm notification appliances on fire alarm systems to be used for non-safety purposes. Provide details of other (non-safety) systems, if any, to be interconnected to the EWIS and highlight areas of responsibility such as the following:</w:t>
      </w:r>
    </w:p>
    <w:p>
      <w:pPr>
        <w:pStyle w:val="Instructionsindent"/>
      </w:pPr>
      <w:r>
        <w:rPr/>
        <w:t xml:space="preserve">Public address facility: System wiring; interconnection to EWIS; microphones; area of coverage; additional speakers.</w:t>
      </w:r>
    </w:p>
    <w:p>
      <w:pPr>
        <w:pStyle w:val="Instructionsindent"/>
      </w:pPr>
      <w:r>
        <w:rPr/>
        <w:t xml:space="preserve">Piped music system: Music source; area of coverage.</w:t>
      </w:r>
    </w:p>
    <w:p>
      <w:pPr>
        <w:pStyle w:val="Instructionsindent"/>
      </w:pPr>
      <w:r>
        <w:rPr/>
        <w:t xml:space="preserve">Patient alarms: See AS 4607.</w:t>
      </w:r>
    </w:p>
    <w:p>
      <w:pPr>
        <w:pStyle w:val="Instructions"/>
      </w:pPr>
      <w:r>
        <w:rPr/>
        <w:t xml:space="preserve">Special provisions/dispensations: In some cases such as in hospitals and nursing homes EWIS requirements are modified to permit supervised evacuation of a building.</w:t>
      </w:r>
    </w:p>
    <w:bookmarkEnd w:id="164"/>
    <w:bookmarkEnd w:id="163"/>
    <w:bookmarkStart w:name="f-65953-content" w:id="168"/>
    <w:p>
      <w:pPr>
        <w:pStyle w:val="Heading3"/>
      </w:pPr>
      <w:bookmarkStart w:name="h-65953-content" w:id="169"/>
      <w:r>
        <w:rPr/>
        <w:t xml:space="preserve">Emergency warning and intercommunication</w:t>
      </w:r>
      <w:bookmarkEnd w:id="169"/>
    </w:p>
    <w:bookmarkEnd w:id="168"/>
    <w:bookmarkStart w:name="f-76031" w:id="170"/>
    <w:bookmarkStart w:name="f-76031-content1" w:id="171"/>
    <w:p>
      <w:pPr>
        <w:pStyle w:val="Heading4"/>
      </w:pPr>
      <w:bookmarkStart w:name="h-76031-content1" w:id="172"/>
      <w:r>
        <w:rPr/>
        <w:t xml:space="preserve">Emergency warning and intercommunication equipment schedule</w:t>
      </w:r>
      <w:bookmarkEnd w:id="172"/>
    </w:p>
    <w:tbl>
      <w:tblGrid>
        <w:gridCol w:w="2500"/>
        <w:gridCol w:w="2500"/>
        <w:gridCol w:w="2500"/>
        <w:gridCol w:w="2500"/>
      </w:tblGrid>
      <w:tblPr>
        <w:tblStyle w:val="NATSPECTable"/>
        <w:tblW w:w="5000" w:type="pct"/>
        <w:tblLook w:val="05E0" w:firstRow="1" w:lastRow="0" w:firstColumn="0" w:lastColumn="0"/>
      </w:tblPr>
      <w:tr>
        <w:trPr>
          <w:tblHeader/>
        </w:trPr>
        <w:tc>
          <w:tcPr>
            <w:tcW w:w="2500" w:type="dxa"/>
          </w:tcPr>
          <w:p/>
        </w:tc>
        <w:tc>
          <w:tcPr>
            <w:tcW w:w="2500" w:type="dxa"/>
          </w:tcPr>
          <w:p>
            <w:pPr>
              <w:pStyle w:val="Tabletitle"/>
            </w:pPr>
            <w:r>
              <w:rPr/>
              <w:t xml:space="preserve">A</w:t>
            </w:r>
          </w:p>
        </w:tc>
        <w:tc>
          <w:tcPr>
            <w:tcW w:w="2500" w:type="dxa"/>
          </w:tcPr>
          <w:p>
            <w:pPr>
              <w:pStyle w:val="Tabletitle"/>
            </w:pPr>
            <w:r>
              <w:rPr/>
              <w:t xml:space="preserve">B</w:t>
            </w:r>
          </w:p>
        </w:tc>
        <w:tc>
          <w:tcPr>
            <w:tcW w:w="2500" w:type="dxa"/>
          </w:tcPr>
          <w:p>
            <w:pPr>
              <w:pStyle w:val="Tabletitle"/>
            </w:pPr>
            <w:r>
              <w:rPr/>
              <w:t xml:space="preserve">C</w:t>
            </w:r>
          </w:p>
        </w:tc>
      </w:tr>
      <w:tr>
        <w:tc>
          <w:tcPr>
            <w:tcW w:w="2500" w:type="dxa"/>
          </w:tcPr>
          <w:p>
            <w:pPr>
              <w:pStyle w:val="Tabletext"/>
            </w:pPr>
            <w:r>
              <w:rPr/>
              <w:t xml:space="preserve">Location of central equipment</w:t>
            </w:r>
          </w:p>
        </w:tc>
        <w:tc>
          <w:tcPr>
            <w:tcW w:w="2500" w:type="dxa"/>
          </w:tcPr>
          <w:p/>
        </w:tc>
        <w:tc>
          <w:tcPr>
            <w:tcW w:w="2500" w:type="dxa"/>
          </w:tcPr>
          <w:p/>
        </w:tc>
        <w:tc>
          <w:tcPr>
            <w:tcW w:w="2500" w:type="dxa"/>
          </w:tcPr>
          <w:p/>
        </w:tc>
      </w:tr>
      <w:tr>
        <w:tc>
          <w:tcPr>
            <w:tcW w:w="2500" w:type="dxa"/>
          </w:tcPr>
          <w:p>
            <w:pPr>
              <w:pStyle w:val="Tabletext"/>
            </w:pPr>
            <w:r>
              <w:rPr/>
              <w:t xml:space="preserve">Fire detection and control indicating equipment (FDCIE) interface: Type</w:t>
            </w:r>
          </w:p>
        </w:tc>
        <w:tc>
          <w:tcPr>
            <w:tcW w:w="2500" w:type="dxa"/>
          </w:tcPr>
          <w:p/>
        </w:tc>
        <w:tc>
          <w:tcPr>
            <w:tcW w:w="2500" w:type="dxa"/>
          </w:tcPr>
          <w:p/>
        </w:tc>
        <w:tc>
          <w:tcPr>
            <w:tcW w:w="2500" w:type="dxa"/>
          </w:tcPr>
          <w:p/>
        </w:tc>
      </w:tr>
      <w:tr>
        <w:tc>
          <w:tcPr>
            <w:tcW w:w="2500" w:type="dxa"/>
          </w:tcPr>
          <w:p>
            <w:pPr>
              <w:pStyle w:val="Tabletext"/>
            </w:pPr>
            <w:r>
              <w:rPr/>
              <w:t xml:space="preserve">Fire detection and control indicating equipment (FDCIE) interface: Information conveyed</w:t>
            </w:r>
          </w:p>
        </w:tc>
        <w:tc>
          <w:tcPr>
            <w:tcW w:w="2500" w:type="dxa"/>
          </w:tcPr>
          <w:p/>
        </w:tc>
        <w:tc>
          <w:tcPr>
            <w:tcW w:w="2500" w:type="dxa"/>
          </w:tcPr>
          <w:p/>
        </w:tc>
        <w:tc>
          <w:tcPr>
            <w:tcW w:w="2500" w:type="dxa"/>
          </w:tcPr>
          <w:p/>
        </w:tc>
      </w:tr>
      <w:tr>
        <w:tc>
          <w:tcPr>
            <w:tcW w:w="2500" w:type="dxa"/>
          </w:tcPr>
          <w:p>
            <w:pPr>
              <w:pStyle w:val="Tabletext"/>
            </w:pPr>
            <w:r>
              <w:rPr/>
              <w:t xml:space="preserve">Emergency control panels: Type</w:t>
            </w:r>
          </w:p>
        </w:tc>
        <w:tc>
          <w:tcPr>
            <w:tcW w:w="2500" w:type="dxa"/>
          </w:tcPr>
          <w:p/>
        </w:tc>
        <w:tc>
          <w:tcPr>
            <w:tcW w:w="2500" w:type="dxa"/>
          </w:tcPr>
          <w:p/>
        </w:tc>
        <w:tc>
          <w:tcPr>
            <w:tcW w:w="2500" w:type="dxa"/>
          </w:tcPr>
          <w:p/>
        </w:tc>
      </w:tr>
      <w:tr>
        <w:tc>
          <w:tcPr>
            <w:tcW w:w="2500" w:type="dxa"/>
          </w:tcPr>
          <w:p>
            <w:pPr>
              <w:pStyle w:val="Tabletext"/>
            </w:pPr>
            <w:r>
              <w:rPr/>
              <w:t xml:space="preserve">Emergency control panels: Location</w:t>
            </w:r>
          </w:p>
        </w:tc>
        <w:tc>
          <w:tcPr>
            <w:tcW w:w="2500" w:type="dxa"/>
          </w:tcPr>
          <w:p/>
        </w:tc>
        <w:tc>
          <w:tcPr>
            <w:tcW w:w="2500" w:type="dxa"/>
          </w:tcPr>
          <w:p/>
        </w:tc>
        <w:tc>
          <w:tcPr>
            <w:tcW w:w="2500" w:type="dxa"/>
          </w:tcPr>
          <w:p/>
        </w:tc>
      </w:tr>
      <w:tr>
        <w:tc>
          <w:tcPr>
            <w:tcW w:w="2500" w:type="dxa"/>
          </w:tcPr>
          <w:p>
            <w:pPr>
              <w:pStyle w:val="Tabletext"/>
            </w:pPr>
            <w:r>
              <w:rPr/>
              <w:t xml:space="preserve">Emergency control panels: Mounting</w:t>
            </w:r>
          </w:p>
        </w:tc>
        <w:tc>
          <w:tcPr>
            <w:tcW w:w="2500" w:type="dxa"/>
          </w:tcPr>
          <w:p/>
        </w:tc>
        <w:tc>
          <w:tcPr>
            <w:tcW w:w="2500" w:type="dxa"/>
          </w:tcPr>
          <w:p/>
        </w:tc>
        <w:tc>
          <w:tcPr>
            <w:tcW w:w="2500" w:type="dxa"/>
          </w:tcPr>
          <w:p/>
        </w:tc>
      </w:tr>
      <w:tr>
        <w:tc>
          <w:tcPr>
            <w:tcW w:w="2500" w:type="dxa"/>
          </w:tcPr>
          <w:p>
            <w:pPr>
              <w:pStyle w:val="Tabletext"/>
            </w:pPr>
            <w:r>
              <w:rPr/>
              <w:t xml:space="preserve">Loudspeaker type</w:t>
            </w:r>
          </w:p>
        </w:tc>
        <w:tc>
          <w:tcPr>
            <w:tcW w:w="2500" w:type="dxa"/>
          </w:tcPr>
          <w:p/>
        </w:tc>
        <w:tc>
          <w:tcPr>
            <w:tcW w:w="2500" w:type="dxa"/>
          </w:tcPr>
          <w:p/>
        </w:tc>
        <w:tc>
          <w:tcPr>
            <w:tcW w:w="2500" w:type="dxa"/>
          </w:tcPr>
          <w:p/>
        </w:tc>
      </w:tr>
      <w:tr>
        <w:tc>
          <w:tcPr>
            <w:tcW w:w="2500" w:type="dxa"/>
          </w:tcPr>
          <w:p>
            <w:pPr>
              <w:pStyle w:val="Tabletext"/>
            </w:pPr>
            <w:r>
              <w:rPr/>
              <w:t xml:space="preserve">Warning lights location</w:t>
            </w:r>
          </w:p>
        </w:tc>
        <w:tc>
          <w:tcPr>
            <w:tcW w:w="2500" w:type="dxa"/>
          </w:tcPr>
          <w:p/>
        </w:tc>
        <w:tc>
          <w:tcPr>
            <w:tcW w:w="2500" w:type="dxa"/>
          </w:tcPr>
          <w:p/>
        </w:tc>
        <w:tc>
          <w:tcPr>
            <w:tcW w:w="2500" w:type="dxa"/>
          </w:tcPr>
          <w:p/>
        </w:tc>
      </w:tr>
      <w:tr>
        <w:tc>
          <w:tcPr>
            <w:tcW w:w="2500" w:type="dxa"/>
          </w:tcPr>
          <w:p>
            <w:pPr>
              <w:pStyle w:val="Tabletext"/>
            </w:pPr>
            <w:r>
              <w:rPr/>
              <w:t xml:space="preserve">Additional functions</w:t>
            </w:r>
          </w:p>
        </w:tc>
        <w:tc>
          <w:tcPr>
            <w:tcW w:w="2500" w:type="dxa"/>
          </w:tcPr>
          <w:p/>
        </w:tc>
        <w:tc>
          <w:tcPr>
            <w:tcW w:w="2500" w:type="dxa"/>
          </w:tcPr>
          <w:p/>
        </w:tc>
        <w:tc>
          <w:tcPr>
            <w:tcW w:w="2500" w:type="dxa"/>
          </w:tcPr>
          <w:p/>
        </w:tc>
      </w:tr>
      <w:tr>
        <w:tc>
          <w:tcPr>
            <w:tcW w:w="2500" w:type="dxa"/>
          </w:tcPr>
          <w:p>
            <w:pPr>
              <w:pStyle w:val="Tabletext"/>
            </w:pPr>
            <w:r>
              <w:rPr/>
              <w:t xml:space="preserve">Verbal message</w:t>
            </w:r>
          </w:p>
        </w:tc>
        <w:tc>
          <w:tcPr>
            <w:tcW w:w="2500" w:type="dxa"/>
          </w:tcPr>
          <w:p/>
        </w:tc>
        <w:tc>
          <w:tcPr>
            <w:tcW w:w="2500" w:type="dxa"/>
          </w:tcPr>
          <w:p/>
        </w:tc>
        <w:tc>
          <w:tcPr>
            <w:tcW w:w="2500" w:type="dxa"/>
          </w:tcPr>
          <w:p/>
        </w:tc>
      </w:tr>
      <w:tr>
        <w:tc>
          <w:tcPr>
            <w:tcW w:w="2500" w:type="dxa"/>
          </w:tcPr>
          <w:p>
            <w:pPr>
              <w:pStyle w:val="Tabletext"/>
            </w:pPr>
            <w:r>
              <w:rPr/>
              <w:t xml:space="preserve">Wording for notice</w:t>
            </w:r>
          </w:p>
        </w:tc>
        <w:tc>
          <w:tcPr>
            <w:tcW w:w="2500" w:type="dxa"/>
          </w:tcPr>
          <w:p/>
        </w:tc>
        <w:tc>
          <w:tcPr>
            <w:tcW w:w="2500" w:type="dxa"/>
          </w:tcPr>
          <w:p/>
        </w:tc>
        <w:tc>
          <w:tcPr>
            <w:tcW w:w="2500" w:type="dxa"/>
          </w:tcPr>
          <w:p/>
        </w:tc>
      </w:tr>
      <w:tr>
        <w:tc>
          <w:tcPr>
            <w:tcW w:w="2500" w:type="dxa"/>
          </w:tcPr>
          <w:p>
            <w:pPr>
              <w:pStyle w:val="Tabletext"/>
            </w:pPr>
            <w:r>
              <w:rPr/>
              <w:t xml:space="preserve">Prescribed time for initiation of evacuation tone</w:t>
            </w:r>
          </w:p>
        </w:tc>
        <w:tc>
          <w:tcPr>
            <w:tcW w:w="2500" w:type="dxa"/>
          </w:tcPr>
          <w:p/>
        </w:tc>
        <w:tc>
          <w:tcPr>
            <w:tcW w:w="2500" w:type="dxa"/>
          </w:tcPr>
          <w:p/>
        </w:tc>
        <w:tc>
          <w:tcPr>
            <w:tcW w:w="2500" w:type="dxa"/>
          </w:tcPr>
          <w:p/>
        </w:tc>
      </w:tr>
      <w:tr>
        <w:tc>
          <w:tcPr>
            <w:tcW w:w="2500" w:type="dxa"/>
          </w:tcPr>
          <w:p>
            <w:pPr>
              <w:pStyle w:val="Tabletext"/>
            </w:pPr>
            <w:r>
              <w:rPr/>
              <w:t xml:space="preserve">Monitoring: Electrical interface</w:t>
            </w:r>
          </w:p>
        </w:tc>
        <w:tc>
          <w:tcPr>
            <w:tcW w:w="2500" w:type="dxa"/>
          </w:tcPr>
          <w:p/>
        </w:tc>
        <w:tc>
          <w:tcPr>
            <w:tcW w:w="2500" w:type="dxa"/>
          </w:tcPr>
          <w:p/>
        </w:tc>
        <w:tc>
          <w:tcPr>
            <w:tcW w:w="2500" w:type="dxa"/>
          </w:tcPr>
          <w:p/>
        </w:tc>
      </w:tr>
      <w:tr>
        <w:tc>
          <w:tcPr>
            <w:tcW w:w="2500" w:type="dxa"/>
          </w:tcPr>
          <w:p>
            <w:pPr>
              <w:pStyle w:val="Tabletext"/>
            </w:pPr>
            <w:r>
              <w:rPr/>
              <w:t xml:space="preserve">Monitoring: Data rate</w:t>
            </w:r>
          </w:p>
        </w:tc>
        <w:tc>
          <w:tcPr>
            <w:tcW w:w="2500" w:type="dxa"/>
          </w:tcPr>
          <w:p/>
        </w:tc>
        <w:tc>
          <w:tcPr>
            <w:tcW w:w="2500" w:type="dxa"/>
          </w:tcPr>
          <w:p/>
        </w:tc>
        <w:tc>
          <w:tcPr>
            <w:tcW w:w="2500" w:type="dxa"/>
          </w:tcPr>
          <w:p/>
        </w:tc>
      </w:tr>
      <w:tr>
        <w:tc>
          <w:tcPr>
            <w:tcW w:w="2500" w:type="dxa"/>
          </w:tcPr>
          <w:p>
            <w:pPr>
              <w:pStyle w:val="Tabletext"/>
            </w:pPr>
            <w:r>
              <w:rPr/>
              <w:t xml:space="preserve">Monitoring: Protocol</w:t>
            </w:r>
          </w:p>
        </w:tc>
        <w:tc>
          <w:tcPr>
            <w:tcW w:w="2500" w:type="dxa"/>
          </w:tcPr>
          <w:p/>
        </w:tc>
        <w:tc>
          <w:tcPr>
            <w:tcW w:w="2500" w:type="dxa"/>
          </w:tcPr>
          <w:p/>
        </w:tc>
        <w:tc>
          <w:tcPr>
            <w:tcW w:w="2500" w:type="dxa"/>
          </w:tcPr>
          <w:p/>
        </w:tc>
      </w:tr>
    </w:tbl>
    <w:p>
      <w:pPr>
        <w:pStyle w:val="Normal"/>
      </w:pPr>
      <w:r>
        <w:rPr/>
        <w:t xml:space="preserve"> </w:t>
      </w:r>
    </w:p>
    <w:bookmarkStart w:name="f-2_365815" w:id="173"/>
    <w:bookmarkStart w:name="f-2_365815-1" w:id="174"/>
    <w:p>
      <w:pPr>
        <w:pStyle w:val="Instructions"/>
      </w:pPr>
      <w:r>
        <w:rPr/>
        <w:t xml:space="preserve">The codes in the header row of the schedule designate each application or location of the item scheduled. Edit the codes to match those in other contract documents.</w:t>
      </w:r>
    </w:p>
    <w:bookmarkEnd w:id="174"/>
    <w:bookmarkEnd w:id="173"/>
    <w:p>
      <w:pPr>
        <w:pStyle w:val="Instructions"/>
      </w:pPr>
      <w:r>
        <w:rPr/>
        <w:t xml:space="preserve">Consider the following for information to be supplied by specifiers:</w:t>
      </w:r>
    </w:p>
    <w:p>
      <w:pPr>
        <w:pStyle w:val="Instructions"/>
      </w:pPr>
      <w:r>
        <w:rPr/>
        <w:t xml:space="preserve">Location of central equipment: e.g. fire control room. Preferably show on the drawings.</w:t>
      </w:r>
    </w:p>
    <w:p>
      <w:pPr>
        <w:pStyle w:val="Instructions"/>
      </w:pPr>
      <w:r>
        <w:rPr/>
        <w:t xml:space="preserve">Fire detection and control indicating equipment (FDCIE) interface:</w:t>
      </w:r>
    </w:p>
    <w:p>
      <w:pPr>
        <w:pStyle w:val="Instructionsindent"/>
      </w:pPr>
      <w:r>
        <w:rPr/>
        <w:t xml:space="preserve">Type: e.g. RS 232, 1200 bits/s data link.</w:t>
      </w:r>
    </w:p>
    <w:p>
      <w:pPr>
        <w:pStyle w:val="Instructions"/>
      </w:pPr>
      <w:r>
        <w:rPr/>
        <w:t xml:space="preserve">Information conveyed, e.g. Fire alarm and zone from which alarm originated, or FBP status.</w:t>
      </w:r>
    </w:p>
    <w:p>
      <w:pPr>
        <w:pStyle w:val="Instructions"/>
      </w:pPr>
      <w:r>
        <w:rPr/>
        <w:t xml:space="preserve">Emergency control panels:</w:t>
      </w:r>
    </w:p>
    <w:p>
      <w:pPr>
        <w:pStyle w:val="Instructionsindent"/>
      </w:pPr>
      <w:r>
        <w:rPr/>
        <w:t xml:space="preserve">Type: e.g. key pad or discrete-switch.</w:t>
      </w:r>
    </w:p>
    <w:p>
      <w:pPr>
        <w:pStyle w:val="Instructionsindent"/>
      </w:pPr>
      <w:r>
        <w:rPr/>
        <w:t xml:space="preserve">Location: Preferably show on the drawings.</w:t>
      </w:r>
    </w:p>
    <w:p>
      <w:pPr>
        <w:pStyle w:val="Instructionsindent"/>
      </w:pPr>
      <w:r>
        <w:rPr/>
        <w:t xml:space="preserve">Mounting: e.g. floor mounted, and height above ground (maximum, minimum).</w:t>
      </w:r>
    </w:p>
    <w:p>
      <w:pPr>
        <w:pStyle w:val="Instructions"/>
      </w:pPr>
      <w:r>
        <w:rPr/>
        <w:t xml:space="preserve">Loudspeaker type: Apart from acoustic performance, take into account the location when nominating the type of speaker to be used, for example:</w:t>
      </w:r>
    </w:p>
    <w:p>
      <w:pPr>
        <w:pStyle w:val="Instructionsindent"/>
      </w:pPr>
      <w:r>
        <w:rPr/>
        <w:t xml:space="preserve">Horn type in enclosed car park and plant areas.</w:t>
      </w:r>
    </w:p>
    <w:p>
      <w:pPr>
        <w:pStyle w:val="Instructionsindent"/>
      </w:pPr>
      <w:r>
        <w:rPr/>
        <w:t xml:space="preserve">Weatherproof where exposed to the elements.</w:t>
      </w:r>
    </w:p>
    <w:p>
      <w:pPr>
        <w:pStyle w:val="Instructionsindent"/>
      </w:pPr>
      <w:r>
        <w:rPr/>
        <w:t xml:space="preserve">Select ceiling mounted speaker construction and finish to suit the type of ceiling.</w:t>
      </w:r>
    </w:p>
    <w:p>
      <w:pPr>
        <w:pStyle w:val="Instructions"/>
      </w:pPr>
      <w:r>
        <w:rPr/>
        <w:t xml:space="preserve">Warning lights location: Preferably show on the drawings.</w:t>
      </w:r>
    </w:p>
    <w:p>
      <w:pPr>
        <w:pStyle w:val="Instructions"/>
      </w:pPr>
      <w:r>
        <w:rPr/>
        <w:t xml:space="preserve">Additional functions: e.g. background music.</w:t>
      </w:r>
    </w:p>
    <w:p>
      <w:pPr>
        <w:pStyle w:val="Instructions"/>
      </w:pPr>
      <w:r>
        <w:rPr/>
        <w:t xml:space="preserve">Verbal message: Insert text of message to be broadcast to conform to AS 1670.4.</w:t>
      </w:r>
    </w:p>
    <w:p>
      <w:pPr>
        <w:pStyle w:val="Instructions"/>
      </w:pPr>
      <w:r>
        <w:rPr/>
        <w:t xml:space="preserve">Wording for notice: Insert text of wording to be included on notices required by AS 1670.4 clause 3.8.</w:t>
      </w:r>
    </w:p>
    <w:p>
      <w:pPr>
        <w:pStyle w:val="Instructions"/>
      </w:pPr>
      <w:r>
        <w:rPr/>
        <w:t xml:space="preserve">Monitoring: By building management systems (BMS):</w:t>
      </w:r>
    </w:p>
    <w:p>
      <w:pPr>
        <w:pStyle w:val="Instructionsindent"/>
      </w:pPr>
      <w:r>
        <w:rPr/>
        <w:t xml:space="preserve">Electrical interface: e.g. RS 232 C.</w:t>
      </w:r>
    </w:p>
    <w:p>
      <w:pPr>
        <w:pStyle w:val="Instructionsindent"/>
      </w:pPr>
      <w:r>
        <w:rPr/>
        <w:t xml:space="preserve">Data rate: e.g. 1200 bits/s.</w:t>
      </w:r>
    </w:p>
    <w:p>
      <w:pPr>
        <w:pStyle w:val="Instructionsindent"/>
      </w:pPr>
      <w:r>
        <w:rPr/>
        <w:t xml:space="preserve">Protocol.</w:t>
      </w:r>
    </w:p>
    <w:bookmarkEnd w:id="171"/>
    <w:bookmarkEnd w:id="170"/>
    <w:bookmarkStart w:name="f-91104" w:id="175"/>
    <w:bookmarkStart w:name="f-91104-content1" w:id="176"/>
    <w:p>
      <w:pPr>
        <w:pStyle w:val="Heading4"/>
      </w:pPr>
      <w:bookmarkStart w:name="h-91104-content1" w:id="177"/>
      <w:r>
        <w:rPr/>
        <w:t xml:space="preserve">Evacuation zone schedule</w:t>
      </w:r>
      <w:bookmarkEnd w:id="177"/>
    </w:p>
    <w:tbl>
      <w:tblGrid>
        <w:gridCol w:w="2500"/>
        <w:gridCol w:w="2500"/>
        <w:gridCol w:w="2500"/>
        <w:gridCol w:w="2500"/>
      </w:tblGrid>
      <w:tblPr>
        <w:tblStyle w:val="NATSPECTable"/>
        <w:tblW w:w="5000" w:type="pct"/>
        <w:tblLook w:val="05E0" w:firstRow="1" w:lastRow="0" w:firstColumn="0" w:lastColumn="0"/>
      </w:tblPr>
      <w:tr>
        <w:trPr>
          <w:tblHeader/>
        </w:trPr>
        <w:tc>
          <w:tcPr>
            <w:tcW w:w="2500" w:type="dxa"/>
          </w:tcPr>
          <w:p/>
        </w:tc>
        <w:tc>
          <w:tcPr>
            <w:tcW w:w="2500" w:type="dxa"/>
          </w:tcPr>
          <w:p>
            <w:pPr>
              <w:pStyle w:val="Tabletitle"/>
            </w:pPr>
            <w:r>
              <w:rPr/>
              <w:t xml:space="preserve">A</w:t>
            </w:r>
          </w:p>
        </w:tc>
        <w:tc>
          <w:tcPr>
            <w:tcW w:w="2500" w:type="dxa"/>
          </w:tcPr>
          <w:p>
            <w:pPr>
              <w:pStyle w:val="Tabletitle"/>
            </w:pPr>
            <w:r>
              <w:rPr/>
              <w:t xml:space="preserve">B</w:t>
            </w:r>
          </w:p>
        </w:tc>
        <w:tc>
          <w:tcPr>
            <w:tcW w:w="2500" w:type="dxa"/>
          </w:tcPr>
          <w:p>
            <w:pPr>
              <w:pStyle w:val="Tabletitle"/>
            </w:pPr>
            <w:r>
              <w:rPr/>
              <w:t xml:space="preserve">C</w:t>
            </w:r>
          </w:p>
        </w:tc>
      </w:tr>
      <w:tr>
        <w:tc>
          <w:tcPr>
            <w:tcW w:w="2500" w:type="dxa"/>
          </w:tcPr>
          <w:p>
            <w:pPr>
              <w:pStyle w:val="Tabletext"/>
            </w:pPr>
            <w:r>
              <w:rPr/>
              <w:t xml:space="preserve">Description</w:t>
            </w:r>
          </w:p>
        </w:tc>
        <w:tc>
          <w:tcPr>
            <w:tcW w:w="2500" w:type="dxa"/>
          </w:tcPr>
          <w:p/>
        </w:tc>
        <w:tc>
          <w:tcPr>
            <w:tcW w:w="2500" w:type="dxa"/>
          </w:tcPr>
          <w:p/>
        </w:tc>
        <w:tc>
          <w:tcPr>
            <w:tcW w:w="2500" w:type="dxa"/>
          </w:tcPr>
          <w:p/>
        </w:tc>
      </w:tr>
      <w:tr>
        <w:tc>
          <w:tcPr>
            <w:tcW w:w="2500" w:type="dxa"/>
          </w:tcPr>
          <w:p>
            <w:pPr>
              <w:pStyle w:val="Tabletext"/>
            </w:pPr>
            <w:r>
              <w:rPr/>
              <w:t xml:space="preserve">Signal stages</w:t>
            </w:r>
          </w:p>
        </w:tc>
        <w:tc>
          <w:tcPr>
            <w:tcW w:w="2500" w:type="dxa"/>
          </w:tcPr>
          <w:p/>
        </w:tc>
        <w:tc>
          <w:tcPr>
            <w:tcW w:w="2500" w:type="dxa"/>
          </w:tcPr>
          <w:p/>
        </w:tc>
        <w:tc>
          <w:tcPr>
            <w:tcW w:w="2500" w:type="dxa"/>
          </w:tcPr>
          <w:p/>
        </w:tc>
      </w:tr>
      <w:tr>
        <w:tc>
          <w:tcPr>
            <w:tcW w:w="2500" w:type="dxa"/>
          </w:tcPr>
          <w:p>
            <w:pPr>
              <w:pStyle w:val="Tabletext"/>
            </w:pPr>
            <w:r>
              <w:rPr/>
              <w:t xml:space="preserve">Sequence of operation</w:t>
            </w:r>
          </w:p>
        </w:tc>
        <w:tc>
          <w:tcPr>
            <w:tcW w:w="2500" w:type="dxa"/>
          </w:tcPr>
          <w:p/>
        </w:tc>
        <w:tc>
          <w:tcPr>
            <w:tcW w:w="2500" w:type="dxa"/>
          </w:tcPr>
          <w:p/>
        </w:tc>
        <w:tc>
          <w:tcPr>
            <w:tcW w:w="2500" w:type="dxa"/>
          </w:tcPr>
          <w:p/>
        </w:tc>
      </w:tr>
    </w:tbl>
    <w:p>
      <w:pPr>
        <w:pStyle w:val="Normal"/>
      </w:pPr>
      <w:r>
        <w:rPr/>
        <w:t xml:space="preserve"> </w:t>
      </w:r>
    </w:p>
    <w:bookmarkStart w:name="f-3_365815" w:id="178"/>
    <w:bookmarkStart w:name="f-3_365815-1" w:id="179"/>
    <w:p>
      <w:pPr>
        <w:pStyle w:val="Instructions"/>
      </w:pPr>
      <w:r>
        <w:rPr/>
        <w:t xml:space="preserve">The codes in the header row of the schedule designate each application or location of the item scheduled. Edit the codes to match those in other contract documents.</w:t>
      </w:r>
    </w:p>
    <w:bookmarkEnd w:id="179"/>
    <w:bookmarkEnd w:id="178"/>
    <w:p>
      <w:pPr>
        <w:pStyle w:val="Instructions"/>
      </w:pPr>
      <w:r>
        <w:rPr/>
        <w:t xml:space="preserve">Preferably show evacuation zones on the drawings. If an </w:t>
      </w:r>
      <w:hyperlink w:anchor="f-91104" w:history="1">
        <w:r>
          <w:rPr>
            <w:rStyle w:val="DefaultParagraphFont"/>
            <w:b/>
          </w:rPr>
          <w:t>Evacuation zone schedule</w:t>
        </w:r>
      </w:hyperlink>
      <w:r>
        <w:rPr/>
        <w:t xml:space="preserve"> is required, include the details below:</w:t>
      </w:r>
    </w:p>
    <w:p>
      <w:pPr>
        <w:pStyle w:val="Instructions"/>
      </w:pPr>
      <w:r>
        <w:rPr/>
        <w:t xml:space="preserve">Description: e.g. floor number, room numbers.</w:t>
      </w:r>
    </w:p>
    <w:p>
      <w:pPr>
        <w:pStyle w:val="Instructions"/>
      </w:pPr>
      <w:r>
        <w:rPr/>
        <w:t xml:space="preserve">Signal stages: Length of time between stages.</w:t>
      </w:r>
    </w:p>
    <w:p>
      <w:pPr>
        <w:pStyle w:val="Instructions"/>
      </w:pPr>
      <w:r>
        <w:rPr/>
        <w:t xml:space="preserve">Sequence of operation: Alarm zone activated. Specify the fire zone from which the alarm originates and for each stage, state the EWIS zone to which the evacuate signal and the alert signals are sent. Schedule signal type (evacuate, alert) against stage.</w:t>
      </w:r>
    </w:p>
    <w:bookmarkEnd w:id="176"/>
    <w:bookmarkEnd w:id="175"/>
    <w:bookmarkEnd w:id="1"/>
    <w:bookmarkStart w:name="f-worksection-refdoc" w:id="180"/>
    <w:p>
      <w:pPr>
        <w:pStyle w:val="InstructionsHeading4"/>
      </w:pPr>
      <w:r>
        <w:rPr/>
        <w:t xml:space="preserve">REFERENCED DOCUMENTS</w:t>
      </w:r>
    </w:p>
    <w:p>
      <w:pPr>
        <w:pStyle w:val="Instructions"/>
      </w:pPr>
      <w:r>
        <w:rPr>
          <w:b/>
        </w:rPr>
        <w:t xml:space="preserve">The following documents are incorporated into this worksection by reference:</w:t>
      </w:r>
    </w:p>
    <w:p>
      <w:pPr>
        <w:pStyle w:val="Standard1"/>
      </w:pPr>
      <w:r>
        <w:rPr/>
        <w:t xml:space="preserve">AS/CA S009</w:t>
      </w:r>
      <w:r>
        <w:tab/>
      </w:r>
      <w:r>
        <w:rPr/>
        <w:t xml:space="preserve">2020</w:t>
      </w:r>
      <w:r>
        <w:tab/>
      </w:r>
      <w:r>
        <w:rPr/>
        <w:t xml:space="preserve">Installation requirements for customer cabling (Wiring Rules)</w:t>
      </w:r>
    </w:p>
    <w:p>
      <w:pPr>
        <w:pStyle w:val="Standard1"/>
      </w:pPr>
      <w:r>
        <w:rPr/>
        <w:t xml:space="preserve">AS 1428</w:t>
      </w:r>
      <w:r>
        <w:tab/>
      </w:r>
      <w:r>
        <w:tab/>
      </w:r>
      <w:r>
        <w:rPr/>
        <w:t xml:space="preserve">Design for access and mobility</w:t>
      </w:r>
    </w:p>
    <w:p>
      <w:pPr>
        <w:pStyle w:val="Standard2"/>
      </w:pPr>
      <w:r>
        <w:rPr/>
        <w:t xml:space="preserve">AS 1428.5</w:t>
      </w:r>
      <w:r>
        <w:tab/>
      </w:r>
      <w:r>
        <w:rPr/>
        <w:t xml:space="preserve">2021</w:t>
      </w:r>
      <w:r>
        <w:tab/>
      </w:r>
      <w:r>
        <w:rPr/>
        <w:t xml:space="preserve">Communication for people who are deaf or hearing impaired</w:t>
      </w:r>
    </w:p>
    <w:p>
      <w:pPr>
        <w:pStyle w:val="Standard1"/>
      </w:pPr>
      <w:r>
        <w:rPr/>
        <w:t xml:space="preserve">AS 1670</w:t>
      </w:r>
      <w:r>
        <w:tab/>
      </w:r>
      <w:r>
        <w:tab/>
      </w:r>
      <w:r>
        <w:rPr/>
        <w:t xml:space="preserve">Fire detection, warning, control and intercom systems - System design, installation and commissioning</w:t>
      </w:r>
    </w:p>
    <w:p>
      <w:pPr>
        <w:pStyle w:val="Standard2"/>
      </w:pPr>
      <w:r>
        <w:rPr/>
        <w:t xml:space="preserve">AS 1670.1</w:t>
      </w:r>
      <w:r>
        <w:tab/>
      </w:r>
      <w:r>
        <w:rPr/>
        <w:t xml:space="preserve">2018</w:t>
      </w:r>
      <w:r>
        <w:tab/>
      </w:r>
      <w:r>
        <w:rPr/>
        <w:t xml:space="preserve">Fire</w:t>
      </w:r>
    </w:p>
    <w:p>
      <w:pPr>
        <w:pStyle w:val="Standard2"/>
      </w:pPr>
      <w:r>
        <w:rPr/>
        <w:t xml:space="preserve">AS 1670.4</w:t>
      </w:r>
      <w:r>
        <w:tab/>
      </w:r>
      <w:r>
        <w:rPr/>
        <w:t xml:space="preserve">2018</w:t>
      </w:r>
      <w:r>
        <w:tab/>
      </w:r>
      <w:r>
        <w:rPr/>
        <w:t xml:space="preserve">Emergency warning and intercom systems</w:t>
      </w:r>
    </w:p>
    <w:p>
      <w:pPr>
        <w:pStyle w:val="Standard2"/>
      </w:pPr>
      <w:r>
        <w:rPr/>
        <w:t xml:space="preserve">AS 1670.5</w:t>
      </w:r>
      <w:r>
        <w:tab/>
      </w:r>
      <w:r>
        <w:rPr/>
        <w:t xml:space="preserve">2016</w:t>
      </w:r>
      <w:r>
        <w:tab/>
      </w:r>
      <w:r>
        <w:rPr/>
        <w:t xml:space="preserve">Special hazard systems</w:t>
      </w:r>
    </w:p>
    <w:p>
      <w:pPr>
        <w:pStyle w:val="Standard1"/>
      </w:pPr>
      <w:r>
        <w:rPr/>
        <w:t xml:space="preserve">AS 1851</w:t>
      </w:r>
      <w:r>
        <w:tab/>
      </w:r>
      <w:r>
        <w:rPr/>
        <w:t xml:space="preserve">2012</w:t>
      </w:r>
      <w:r>
        <w:tab/>
      </w:r>
      <w:r>
        <w:rPr/>
        <w:t xml:space="preserve">Routine service of fire protection systems and equipment</w:t>
      </w:r>
    </w:p>
    <w:p>
      <w:pPr>
        <w:pStyle w:val="Standard1"/>
      </w:pPr>
      <w:r>
        <w:rPr/>
        <w:t xml:space="preserve">AS/NZS 3000</w:t>
      </w:r>
      <w:r>
        <w:tab/>
      </w:r>
      <w:r>
        <w:rPr/>
        <w:t xml:space="preserve">2018</w:t>
      </w:r>
      <w:r>
        <w:tab/>
      </w:r>
      <w:r>
        <w:rPr/>
        <w:t xml:space="preserve">Electrical installations (known as the Australian/New Zealand Wiring Rules)</w:t>
      </w:r>
    </w:p>
    <w:p>
      <w:pPr>
        <w:pStyle w:val="Standard1"/>
      </w:pPr>
      <w:r>
        <w:rPr/>
        <w:t xml:space="preserve">AS 4428</w:t>
      </w:r>
      <w:r>
        <w:tab/>
      </w:r>
      <w:r>
        <w:tab/>
      </w:r>
      <w:r>
        <w:rPr/>
        <w:t xml:space="preserve">Fire detection, warning, control and intercom systems - Control and indicating equipment</w:t>
      </w:r>
    </w:p>
    <w:p>
      <w:pPr>
        <w:pStyle w:val="Standard2"/>
      </w:pPr>
      <w:r>
        <w:rPr/>
        <w:t xml:space="preserve">AS 4428.4</w:t>
      </w:r>
      <w:r>
        <w:tab/>
      </w:r>
      <w:r>
        <w:rPr/>
        <w:t xml:space="preserve">2016</w:t>
      </w:r>
      <w:r>
        <w:tab/>
      </w:r>
      <w:r>
        <w:rPr/>
        <w:t xml:space="preserve">Emergency intercom control and indicating equipment</w:t>
      </w:r>
    </w:p>
    <w:p>
      <w:pPr>
        <w:pStyle w:val="Standard2"/>
      </w:pPr>
      <w:r>
        <w:rPr/>
        <w:t xml:space="preserve">AS 4428.16</w:t>
      </w:r>
      <w:r>
        <w:tab/>
      </w:r>
      <w:r>
        <w:rPr/>
        <w:t xml:space="preserve">2020</w:t>
      </w:r>
      <w:r>
        <w:tab/>
      </w:r>
      <w:r>
        <w:rPr/>
        <w:t xml:space="preserve">Emergency warning control and indicating equipment</w:t>
      </w:r>
    </w:p>
    <w:p>
      <w:pPr>
        <w:pStyle w:val="Standard1"/>
      </w:pPr>
      <w:r>
        <w:rPr/>
        <w:t xml:space="preserve">AS 7240</w:t>
      </w:r>
      <w:r>
        <w:tab/>
      </w:r>
      <w:r>
        <w:tab/>
      </w:r>
      <w:r>
        <w:rPr/>
        <w:t xml:space="preserve">Fire detection and alarm systems</w:t>
      </w:r>
    </w:p>
    <w:p>
      <w:pPr>
        <w:pStyle w:val="Standard2"/>
      </w:pPr>
      <w:r>
        <w:rPr/>
        <w:t xml:space="preserve">AS ISO 7240.24</w:t>
      </w:r>
      <w:r>
        <w:tab/>
      </w:r>
      <w:r>
        <w:rPr/>
        <w:t xml:space="preserve">2018</w:t>
      </w:r>
      <w:r>
        <w:tab/>
      </w:r>
      <w:r>
        <w:rPr/>
        <w:t xml:space="preserve">Fire alarm loudspeakers</w:t>
      </w:r>
    </w:p>
    <w:p>
      <w:pPr>
        <w:pStyle w:val="Standard1"/>
      </w:pPr>
      <w:r>
        <w:rPr/>
        <w:t xml:space="preserve">AS 60849</w:t>
      </w:r>
      <w:r>
        <w:tab/>
      </w:r>
      <w:r>
        <w:rPr/>
        <w:t xml:space="preserve">2004</w:t>
      </w:r>
      <w:r>
        <w:tab/>
      </w:r>
      <w:r>
        <w:rPr/>
        <w:t xml:space="preserve">Magnetic field strength in audio-frequency induction loops for hearing aid purposes</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AS 4607</w:t>
      </w:r>
      <w:r>
        <w:tab/>
      </w:r>
      <w:r>
        <w:rPr/>
        <w:t xml:space="preserve">1999</w:t>
      </w:r>
      <w:r>
        <w:tab/>
      </w:r>
      <w:r>
        <w:rPr/>
        <w:t xml:space="preserve">Personal response systems</w:t>
      </w:r>
    </w:p>
    <w:p>
      <w:pPr>
        <w:pStyle w:val="Standard1"/>
      </w:pPr>
      <w:r>
        <w:rPr/>
        <w:t xml:space="preserve">BCA E4.9</w:t>
      </w:r>
      <w:r>
        <w:tab/>
      </w:r>
      <w:r>
        <w:rPr/>
        <w:t xml:space="preserve">2019</w:t>
      </w:r>
      <w:r>
        <w:tab/>
      </w:r>
      <w:r>
        <w:rPr/>
        <w:t xml:space="preserve">Services and equipment - Visibility in an emergency, exit signs and warning systems - Emergency warning and intercom systems</w:t>
      </w:r>
    </w:p>
    <w:p>
      <w:pPr>
        <w:pStyle w:val="Standard1"/>
      </w:pPr>
      <w:r>
        <w:rPr/>
        <w:t xml:space="preserve">NATSPEC GEN 020</w:t>
      </w:r>
      <w:r>
        <w:tab/>
      </w:r>
      <w:r>
        <w:rPr/>
        <w:t xml:space="preserve">2018</w:t>
      </w:r>
      <w:r>
        <w:tab/>
      </w:r>
      <w:r>
        <w:rPr/>
        <w:t xml:space="preserve">Building commissioning</w:t>
      </w:r>
    </w:p>
    <w:p>
      <w:pPr>
        <w:pStyle w:val="Standard1"/>
      </w:pPr>
      <w:r>
        <w:rPr/>
        <w:t xml:space="preserve">NATSPEC GEN 024</w:t>
      </w:r>
      <w:r>
        <w:tab/>
      </w:r>
      <w:r>
        <w:rPr/>
        <w:t xml:space="preserve">2021</w:t>
      </w:r>
      <w:r>
        <w:tab/>
      </w:r>
      <w:r>
        <w:rPr/>
        <w:t xml:space="preserve">Using NATSPEC selections schedules</w:t>
      </w:r>
    </w:p>
    <w:p>
      <w:pPr>
        <w:pStyle w:val="Standard1"/>
      </w:pPr>
      <w:r>
        <w:rPr/>
        <w:t xml:space="preserve">NATSPEC TR 01</w:t>
      </w:r>
      <w:r>
        <w:tab/>
      </w:r>
      <w:r>
        <w:rPr/>
        <w:t xml:space="preserve">2021</w:t>
      </w:r>
      <w:r>
        <w:tab/>
      </w:r>
      <w:r>
        <w:rPr/>
        <w:t xml:space="preserve">Specifying ESD</w:t>
      </w:r>
    </w:p>
    <w:bookmarkEnd w:id="180"/>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Hyperlink">
    <w:name w:val="ps_inl_Hyperlink"/>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1073 Emergency warning and intercommunication</dc:title>
  <cp:category>10 FIRE</cp:category>
</cp:coreProperties>
</file>