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03944" w:id="0"/>
    <w:bookmarkEnd w:id="0"/>
    <w:bookmarkStart w:name="f-203944-worksection-current" w:id="1"/>
    <w:bookmarkStart w:name="f-203990" w:id="2"/>
    <w:bookmarkStart w:name="f-203990-title" w:id="3"/>
    <w:p>
      <w:pPr>
        <w:pStyle w:val="Heading1"/>
      </w:pPr>
      <w:bookmarkStart w:name="h-203990-title" w:id="4"/>
      <w:r>
        <w:rPr/>
        <w:t xml:space="preserve">1041 Gaseous fire suppression systems</w:t>
      </w:r>
      <w:bookmarkEnd w:id="4"/>
    </w:p>
    <w:bookmarkEnd w:id="3"/>
    <w:bookmarkEnd w:id="2"/>
    <w:bookmarkStart w:name="f-2_203945" w:id="5"/>
    <w:bookmarkStart w:name="f-2_203945-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gaseous fire suppression systems, accessories, piping, installation and testing to AS 4214 and AS 6183.</w:t>
      </w:r>
    </w:p>
    <w:bookmarkEnd w:id="6"/>
    <w:bookmarkEnd w:id="5"/>
    <w:bookmarkStart w:name="f-203983" w:id="7"/>
    <w:bookmarkStart w:name="f-203983-1" w:id="8"/>
    <w:p>
      <w:pPr>
        <w:pStyle w:val="InstructionsHeading4"/>
      </w:pPr>
      <w:r>
        <w:rPr/>
        <w:t xml:space="preserve">Background</w:t>
      </w:r>
    </w:p>
    <w:p>
      <w:pPr>
        <w:pStyle w:val="Instructions"/>
      </w:pPr>
      <w:r>
        <w:rPr/>
        <w:t xml:space="preserve">Significant documents for this worksection are:</w:t>
      </w:r>
    </w:p>
    <w:p>
      <w:pPr>
        <w:pStyle w:val="Instructionsindent"/>
      </w:pPr>
      <w:r>
        <w:rPr/>
        <w:t xml:space="preserve">AS 4214 for the design, installation, testing, maintenance and safety of gaseous fire suppression systems and the characteristics of the various extinguishing agents.</w:t>
      </w:r>
    </w:p>
    <w:p>
      <w:pPr>
        <w:pStyle w:val="Instructionsindent"/>
      </w:pPr>
      <w:r>
        <w:rPr/>
        <w:t xml:space="preserve">AS 6183 for the design, installation, testing, maintenance and safety of fixed carbon dioxide firefighting systems in non-marine environments. For marine environments, refer to AS 4214.</w:t>
      </w:r>
    </w:p>
    <w:p>
      <w:pPr>
        <w:pStyle w:val="Instructions"/>
      </w:pPr>
      <w:r>
        <w:rPr/>
        <w:t xml:space="preserve">This worksection </w:t>
      </w:r>
      <w:r>
        <w:rPr>
          <w:i/>
        </w:rPr>
        <w:t xml:space="preserve">Template</w:t>
      </w:r>
      <w:r>
        <w:rPr/>
        <w:t xml:space="preserve"> should be edited to remove information relating carbon dioxide and AS 6183 if it is not being used.</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203980" w:id="11"/>
    <w:bookmarkStart w:name="f-203980-1" w:id="12"/>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07 MECHANICAL</w:t>
      </w:r>
      <w:r>
        <w:rPr/>
        <w:t xml:space="preserve"> workgroup for ventilation systems for gas purging after discharge and for room pressure release vents.</w:t>
      </w:r>
    </w:p>
    <w:p>
      <w:pPr>
        <w:pStyle w:val="Instructionsindent"/>
      </w:pPr>
      <w:r>
        <w:rPr>
          <w:i/>
        </w:rPr>
        <w:t xml:space="preserve">1030 Combined wet fire suppression systems</w:t>
      </w:r>
      <w:r>
        <w:rPr>
          <w:i/>
        </w:rPr>
        <w:t xml:space="preserve">.</w:t>
      </w:r>
    </w:p>
    <w:p>
      <w:pPr>
        <w:pStyle w:val="Instructionsindent"/>
      </w:pPr>
      <w:r>
        <w:rPr>
          <w:i/>
        </w:rPr>
        <w:t xml:space="preserve">1031 Hydrants</w:t>
      </w:r>
      <w:r>
        <w:rPr>
          <w:i/>
        </w:rPr>
        <w:t xml:space="preserve">.</w:t>
      </w:r>
    </w:p>
    <w:p>
      <w:pPr>
        <w:pStyle w:val="Instructionsindent"/>
      </w:pPr>
      <w:r>
        <w:rPr>
          <w:i/>
        </w:rPr>
        <w:t xml:space="preserve">1032 Hose reels</w:t>
      </w:r>
      <w:r>
        <w:rPr>
          <w:i/>
        </w:rPr>
        <w:t xml:space="preserve">.</w:t>
      </w:r>
    </w:p>
    <w:p>
      <w:pPr>
        <w:pStyle w:val="Instructionsindent"/>
      </w:pPr>
      <w:r>
        <w:rPr>
          <w:i/>
        </w:rPr>
        <w:t xml:space="preserve">1033 Sprinklers</w:t>
      </w:r>
      <w:r>
        <w:rPr>
          <w:i/>
        </w:rPr>
        <w:t xml:space="preserve">.</w:t>
      </w:r>
    </w:p>
    <w:bookmarkEnd w:id="12"/>
    <w:bookmarkEnd w:id="11"/>
    <w:bookmarkStart w:name="f-190860" w:id="13"/>
    <w:bookmarkStart w:name="f-190860-1" w:id="14"/>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t xml:space="preserve">None.</w:t>
      </w:r>
    </w:p>
    <w:bookmarkEnd w:id="14"/>
    <w:bookmarkEnd w:id="13"/>
    <w:bookmarkStart w:name="f-203950" w:id="15"/>
    <w:bookmarkStart w:name="f-203950-1" w:id="16"/>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w:t>
      </w:r>
    </w:p>
    <w:bookmarkEnd w:id="16"/>
    <w:bookmarkEnd w:id="15"/>
    <w:bookmarkStart w:name="f-203981" w:id="17"/>
    <w:bookmarkStart w:name="f-203981-1" w:id="18"/>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Refer to AS 4214 Appendix B, or AS 6183 Annex A for carbon dioxide systems, for a list of the documentation required.</w:t>
      </w:r>
    </w:p>
    <w:p>
      <w:pPr>
        <w:pStyle w:val="Instructionsindent"/>
      </w:pPr>
      <w:r>
        <w:rPr/>
        <w:t xml:space="preserve">Refer to SA HB 20 for symbols used in fire protection drawings.</w:t>
      </w:r>
    </w:p>
    <w:p>
      <w:pPr>
        <w:pStyle w:val="Instructionsindent"/>
      </w:pPr>
      <w:r>
        <w:rPr/>
        <w:t xml:space="preserve">Show storage container location, fixed pipe reticulation and nozzle locations and details on the drawings. Some of the details may be included in SELECTIONS. Do not include in both places.</w:t>
      </w:r>
    </w:p>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p>
      <w:pPr>
        <w:pStyle w:val="Instructions"/>
      </w:pPr>
      <w:r>
        <w:rPr/>
        <w:t xml:space="preserve">For example:</w:t>
      </w:r>
    </w:p>
    <w:p>
      <w:pPr>
        <w:pStyle w:val="Instructionsindent"/>
      </w:pPr>
      <w:r>
        <w:rPr/>
        <w:t xml:space="preserve">Nozzle locations and requirement for deflectors</w:t>
      </w:r>
    </w:p>
    <w:p>
      <w:pPr>
        <w:pStyle w:val="Instructionsindent"/>
      </w:pPr>
      <w:r>
        <w:rPr/>
        <w:t xml:space="preserve">Storage container location.</w:t>
      </w:r>
    </w:p>
    <w:p>
      <w:pPr>
        <w:pStyle w:val="Instructionsindent"/>
      </w:pPr>
      <w:r>
        <w:rPr/>
        <w:t xml:space="preserve">LCS location.</w:t>
      </w:r>
    </w:p>
    <w:bookmarkEnd w:id="18"/>
    <w:bookmarkEnd w:id="17"/>
    <w:bookmarkStart w:name="f-205818" w:id="19"/>
    <w:bookmarkStart w:name="f-205818-2" w:id="20"/>
    <w:p>
      <w:pPr>
        <w:pStyle w:val="InstructionsHeading4"/>
      </w:pPr>
      <w:r>
        <w:rPr/>
        <w:t xml:space="preserve">Specifying ESD</w:t>
      </w:r>
    </w:p>
    <w:bookmarkEnd w:id="20"/>
    <w:bookmarkStart w:name="f-205818-1" w:id="21"/>
    <w:p>
      <w:pPr>
        <w:pStyle w:val="Instructions"/>
      </w:pPr>
      <w:r>
        <w:rPr/>
        <w:t xml:space="preserve">Refer to NATSPEC TECHreport TR 01 on specifying ESD.</w:t>
      </w:r>
    </w:p>
    <w:bookmarkEnd w:id="21"/>
    <w:bookmarkEnd w:id="19"/>
    <w:bookmarkStart w:name="f-85531" w:id="22"/>
    <w:bookmarkStart w:name="f-85531-content" w:id="23"/>
    <w:p>
      <w:pPr>
        <w:pStyle w:val="Heading2"/>
      </w:pPr>
      <w:bookmarkStart w:name="h-85531-content" w:id="24"/>
      <w:r>
        <w:rPr/>
        <w:t xml:space="preserve">General</w:t>
      </w:r>
      <w:bookmarkEnd w:id="24"/>
    </w:p>
    <w:bookmarkEnd w:id="23"/>
    <w:bookmarkEnd w:id="22"/>
    <w:bookmarkStart w:name="f-92121" w:id="25"/>
    <w:bookmarkStart w:name="f-92121-content" w:id="26"/>
    <w:p>
      <w:pPr>
        <w:pStyle w:val="Heading3"/>
      </w:pPr>
      <w:bookmarkStart w:name="h-92121-content" w:id="27"/>
      <w:r>
        <w:rPr/>
        <w:t xml:space="preserve">Responsibilities</w:t>
      </w:r>
      <w:bookmarkEnd w:id="27"/>
    </w:p>
    <w:bookmarkEnd w:id="26"/>
    <w:bookmarkEnd w:id="25"/>
    <w:bookmarkStart w:name="f-203949" w:id="28"/>
    <w:bookmarkStart w:name="f-203949-title" w:id="29"/>
    <w:p>
      <w:pPr>
        <w:pStyle w:val="Heading4"/>
      </w:pPr>
      <w:bookmarkStart w:name="h-203949-title" w:id="30"/>
      <w:r>
        <w:rPr/>
        <w:t xml:space="preserve">General</w:t>
      </w:r>
      <w:bookmarkStart w:id="31" w:name="a-f-85943-content1"/>
      <w:bookmarkEnd w:id="31"/>
      <w:bookmarkStart w:id="32" w:name="a-f-85943"/>
      <w:bookmarkEnd w:id="32"/>
      <w:bookmarkEnd w:id="30"/>
    </w:p>
    <w:bookmarkEnd w:id="29"/>
    <w:bookmarkStart w:name="f-203949-1" w:id="33"/>
    <w:p>
      <w:pPr>
        <w:pStyle w:val="Normal"/>
      </w:pPr>
      <w:r>
        <w:rPr/>
        <w:t xml:space="preserve">Requirement: Provide automatic and manual gaseous fire suppression systems including cylinder bank, pipe reticulation, valves, fittings and nozzles, as documented.</w:t>
      </w:r>
    </w:p>
    <w:bookmarkStart w:name="f-99931" w:id="34"/>
    <w:bookmarkStart w:name="f-99931-2"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p>
      <w:pPr>
        <w:pStyle w:val="Instructions"/>
      </w:pPr>
      <w:r>
        <w:rPr/>
        <w:t xml:space="preserve">Besides statutory requirements for fire protection equipment, gaseous fire suppression systems might be required to comply with insurance company requirements or site conditions. If so, it may be desirable to make reference to such requirements here.</w:t>
      </w:r>
    </w:p>
    <w:bookmarkEnd w:id="33"/>
    <w:bookmarkEnd w:id="28"/>
    <w:bookmarkStart w:name="f-86626" w:id="36"/>
    <w:bookmarkStart w:name="f-86626-content" w:id="37"/>
    <w:p>
      <w:pPr>
        <w:pStyle w:val="Heading3"/>
      </w:pPr>
      <w:bookmarkStart w:name="h-86626-content" w:id="38"/>
      <w:r>
        <w:rPr/>
        <w:t xml:space="preserve">Design</w:t>
      </w:r>
      <w:bookmarkEnd w:id="38"/>
    </w:p>
    <w:bookmarkEnd w:id="37"/>
    <w:bookmarkEnd w:id="36"/>
    <w:bookmarkStart w:name="f-203929" w:id="39"/>
    <w:bookmarkStart w:name="f-203929-title" w:id="40"/>
    <w:p>
      <w:pPr>
        <w:pStyle w:val="Heading4"/>
      </w:pPr>
      <w:bookmarkStart w:name="h-203929-title" w:id="41"/>
      <w:r>
        <w:rPr/>
        <w:t xml:space="preserve">General</w:t>
      </w:r>
      <w:bookmarkEnd w:id="41"/>
    </w:p>
    <w:bookmarkEnd w:id="40"/>
    <w:bookmarkStart w:name="f-203929-1" w:id="42"/>
    <w:p>
      <w:pPr>
        <w:pStyle w:val="Prompt"/>
      </w:pPr>
      <w:r>
        <w:rPr/>
        <w:t xml:space="preserve">Designer: </w:t>
      </w:r>
      <w:r>
        <w:fldChar w:fldCharType="begin"/>
        <w:instrText xml:space="preserve"> MACROBUTTON  ac_OnHelp [complete/delete]</w:instrText>
        <w:fldChar w:fldCharType="separate"/>
        <w:t xml:space="preserve"> </w:t>
        <w:fldChar w:fldCharType="end"/>
      </w:r>
    </w:p>
    <w:p>
      <w:pPr>
        <w:pStyle w:val="Instructions"/>
      </w:pPr>
      <w:r>
        <w:rPr/>
        <w:t xml:space="preserve">Nominate the designer, e.g. Professional engineer, Specialist fire services contractor.</w:t>
      </w:r>
    </w:p>
    <w:p>
      <w:pPr>
        <w:pStyle w:val="Normal"/>
      </w:pPr>
      <w:r>
        <w:rPr/>
        <w:t xml:space="preserve">Standards:</w:t>
      </w:r>
    </w:p>
    <w:p>
      <w:pPr>
        <w:pStyle w:val="NormalIndent"/>
      </w:pPr>
      <w:r>
        <w:rPr/>
        <w:t xml:space="preserve">General gaseous fire suppression systems: To AS 4214.</w:t>
      </w:r>
    </w:p>
    <w:p>
      <w:pPr>
        <w:pStyle w:val="NormalIndent"/>
      </w:pPr>
      <w:r>
        <w:rPr/>
        <w:t xml:space="preserve">Carbon dioxide fire suppression systems: To AS 6183.</w:t>
      </w:r>
    </w:p>
    <w:p>
      <w:pPr>
        <w:pStyle w:val="OptionalNormal"/>
      </w:pPr>
      <w:r>
        <w:rPr/>
        <w:t xml:space="preserve">Requirement: Design gaseous fire suppression systems, as documented.</w:t>
      </w:r>
    </w:p>
    <w:p>
      <w:pPr>
        <w:pStyle w:val="Instructions"/>
      </w:pPr>
      <w:r>
        <w:rPr/>
        <w:t xml:space="preserve">If the contractor is to design and select the gaseous fire suppression system, include this </w:t>
      </w:r>
      <w:r>
        <w:rPr>
          <w:i/>
        </w:rPr>
        <w:t xml:space="preserve">Optional</w:t>
      </w:r>
      <w:r>
        <w:rPr/>
        <w:t xml:space="preserve"> style text by changing to </w:t>
      </w:r>
      <w:r>
        <w:rPr>
          <w:i/>
        </w:rPr>
        <w:t xml:space="preserve">Normal</w:t>
      </w:r>
      <w:r>
        <w:rPr/>
        <w:t xml:space="preserve"> style text. Use </w:t>
      </w:r>
      <w:r>
        <w:rPr>
          <w:i/>
        </w:rPr>
        <w:t xml:space="preserve">1001 Fire services systems</w:t>
      </w:r>
      <w:r>
        <w:rPr/>
        <w:t xml:space="preserve"> to describe design parameters for fire services systems, as a whole.</w:t>
      </w:r>
    </w:p>
    <w:p>
      <w:pPr>
        <w:pStyle w:val="Instructions"/>
      </w:pPr>
      <w:r>
        <w:rPr/>
        <w:t xml:space="preserve">Include, if appropriate, information that may affect the design such as site constraints, conditions of authority approvals and relevant provisions from the </w:t>
      </w:r>
      <w:r>
        <w:rPr>
          <w:i/>
        </w:rPr>
        <w:t xml:space="preserve">Preliminaries</w:t>
      </w:r>
      <w:r>
        <w:rPr/>
        <w:t xml:space="preserve"> worksection.</w:t>
      </w:r>
    </w:p>
    <w:p>
      <w:pPr>
        <w:pStyle w:val="OptionalNormal"/>
      </w:pPr>
      <w:r>
        <w:rPr>
          <w:b/>
        </w:rPr>
        <w:t xml:space="preserve">Design criteria</w:t>
      </w:r>
    </w:p>
    <w:p>
      <w:pPr>
        <w:pStyle w:val="Instructions"/>
      </w:pPr>
      <w:r>
        <w:rPr/>
        <w:t xml:space="preserve">Design criteria included in the SELECTIONS schedules should not be repeated here.</w:t>
      </w:r>
    </w:p>
    <w:p>
      <w:pPr>
        <w:pStyle w:val="OptionalNormal"/>
      </w:pPr>
      <w:r>
        <w:rPr/>
        <w:t xml:space="preserve">Requirement: Provide gaseous fire suppression systems, as follows:</w:t>
      </w:r>
    </w:p>
    <w:p>
      <w:pPr>
        <w:pStyle w:val="OptionalNormalIndent"/>
      </w:pPr>
      <w:r>
        <w:rPr/>
        <w:t xml:space="preserve">Hazard classification: </w:t>
      </w:r>
      <w:r>
        <w:fldChar w:fldCharType="begin"/>
        <w:instrText xml:space="preserve"> MACROBUTTON  ac_OnHelp [complete/delete]</w:instrText>
        <w:fldChar w:fldCharType="separate"/>
        <w:t xml:space="preserve"> </w:t>
        <w:fldChar w:fldCharType="end"/>
      </w:r>
    </w:p>
    <w:p>
      <w:pPr>
        <w:pStyle w:val="OptionalNormalIndent"/>
      </w:pPr>
      <w:r>
        <w:rPr/>
        <w:t xml:space="preserve">Minimum design concentration: </w:t>
      </w:r>
      <w:r>
        <w:fldChar w:fldCharType="begin"/>
        <w:instrText xml:space="preserve"> MACROBUTTON  ac_OnHelp [complete/delete]</w:instrText>
        <w:fldChar w:fldCharType="separate"/>
        <w:t xml:space="preserve"> </w:t>
        <w:fldChar w:fldCharType="end"/>
      </w:r>
    </w:p>
    <w:p>
      <w:pPr>
        <w:pStyle w:val="OptionalNormalIndent"/>
      </w:pPr>
      <w:r>
        <w:rPr/>
        <w:t xml:space="preserve">Minimum hold time: </w:t>
      </w:r>
      <w:r>
        <w:fldChar w:fldCharType="begin"/>
        <w:instrText xml:space="preserve"> MACROBUTTON  ac_OnHelp [complete/delete]</w:instrText>
        <w:fldChar w:fldCharType="separate"/>
        <w:t xml:space="preserve"> </w:t>
        <w:fldChar w:fldCharType="end"/>
      </w:r>
      <w:r>
        <w:rPr/>
        <w:t xml:space="preserve">  </w:t>
      </w:r>
    </w:p>
    <w:p>
      <w:pPr>
        <w:pStyle w:val="OptionalNormalIndent"/>
      </w:pPr>
      <w:r>
        <w:rPr/>
        <w:t xml:space="preserve">Average room temperature range: </w:t>
      </w:r>
      <w:r>
        <w:fldChar w:fldCharType="begin"/>
        <w:instrText xml:space="preserve"> MACROBUTTON  ac_OnHelp [complete/delete]</w:instrText>
        <w:fldChar w:fldCharType="separate"/>
        <w:t xml:space="preserve"> </w:t>
        <w:fldChar w:fldCharType="end"/>
      </w:r>
      <w:r>
        <w:rPr/>
        <w:t xml:space="preserve">  </w:t>
      </w:r>
    </w:p>
    <w:p>
      <w:pPr>
        <w:pStyle w:val="OptionalNormalIndent"/>
      </w:pPr>
      <w:r>
        <w:rPr/>
        <w:t xml:space="preserve">Maximum allowable room pressure: </w:t>
      </w:r>
      <w:r>
        <w:fldChar w:fldCharType="begin"/>
        <w:instrText xml:space="preserve"> MACROBUTTON  ac_OnHelp [complete/delete]</w:instrText>
        <w:fldChar w:fldCharType="separate"/>
        <w:t xml:space="preserve"> </w:t>
        <w:fldChar w:fldCharType="end"/>
      </w:r>
      <w:r>
        <w:rPr/>
        <w:t xml:space="preserve">  </w:t>
      </w:r>
    </w:p>
    <w:p>
      <w:pPr>
        <w:pStyle w:val="OptionalNormalIndent"/>
      </w:pPr>
      <w:r>
        <w:rPr/>
        <w:t xml:space="preserve">Elevation above sea level: </w:t>
      </w:r>
      <w:r>
        <w:fldChar w:fldCharType="begin"/>
        <w:instrText xml:space="preserve"> MACROBUTTON  ac_OnHelp [complete/delete]</w:instrText>
        <w:fldChar w:fldCharType="separate"/>
        <w:t xml:space="preserve"> </w:t>
        <w:fldChar w:fldCharType="end"/>
      </w:r>
    </w:p>
    <w:p>
      <w:pPr>
        <w:pStyle w:val="OptionalNormalIndent"/>
      </w:pPr>
      <w:r>
        <w:rPr/>
        <w:t xml:space="preserve">Room and ductwork volumes: As documented.</w:t>
      </w:r>
    </w:p>
    <w:bookmarkEnd w:id="42"/>
    <w:bookmarkEnd w:id="39"/>
    <w:bookmarkStart w:name="f-67550" w:id="43"/>
    <w:bookmarkStart w:name="f-67550-content" w:id="44"/>
    <w:p>
      <w:pPr>
        <w:pStyle w:val="Heading3"/>
      </w:pPr>
      <w:bookmarkStart w:name="h-67550-content" w:id="45"/>
      <w:r>
        <w:rPr/>
        <w:t xml:space="preserve">Cross references</w:t>
      </w:r>
      <w:bookmarkEnd w:id="45"/>
    </w:p>
    <w:bookmarkEnd w:id="44"/>
    <w:bookmarkEnd w:id="43"/>
    <w:bookmarkStart w:name="f-203979" w:id="46"/>
    <w:bookmarkStart w:name="f-203979-2" w:id="47"/>
    <w:bookmarkStart w:name="f-99933" w:id="48"/>
    <w:bookmarkStart w:name="f-99933-5" w:id="49"/>
    <w:p>
      <w:pPr>
        <w:pStyle w:val="Heading4"/>
      </w:pPr>
      <w:bookmarkStart w:name="h-99933-5" w:id="50"/>
      <w:r>
        <w:rPr/>
        <w:t xml:space="preserve">General</w:t>
      </w:r>
      <w:bookmarkEnd w:id="50"/>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9"/>
    <w:bookmarkEnd w:id="48"/>
    <w:bookmarkEnd w:id="47"/>
    <w:bookmarkStart w:name="f-203979-1" w:id="51"/>
    <w:p>
      <w:pPr>
        <w:pStyle w:val="NormalIndent"/>
      </w:pPr>
      <w:r>
        <w:rPr>
          <w:i/>
        </w:rPr>
        <w:t xml:space="preserve">1001 Fire services systems</w:t>
      </w:r>
      <w:r>
        <w:rPr>
          <w:i/>
        </w:rPr>
        <w:t xml:space="preserve">.</w:t>
      </w:r>
    </w:p>
    <w:p>
      <w:pPr>
        <w:pStyle w:val="Instructions"/>
      </w:pPr>
      <w:r>
        <w:rPr>
          <w:i/>
        </w:rPr>
        <w:t xml:space="preserve">1001 Fire services systems</w:t>
      </w:r>
      <w:r>
        <w:rPr/>
        <w:t xml:space="preserve"> deals with matters applicable to more than one fire service worksection.</w:t>
      </w:r>
    </w:p>
    <w:p>
      <w:pPr>
        <w:pStyle w:val="NormalIndent"/>
      </w:pPr>
      <w:r>
        <w:rPr>
          <w:i/>
        </w:rPr>
        <w:t xml:space="preserve">1072 Fire detection and alarms</w:t>
      </w:r>
      <w:r>
        <w:rPr>
          <w:i/>
        </w:rPr>
        <w:t xml:space="preserve">.</w:t>
      </w:r>
    </w:p>
    <w:p>
      <w:pPr>
        <w:pStyle w:val="NormalIndent"/>
      </w:pPr>
      <w:r>
        <w:rPr>
          <w:i/>
        </w:rPr>
        <w:t xml:space="preserve">1073 Emergency warning and intercommunication</w:t>
      </w:r>
      <w:r>
        <w:rPr>
          <w:i/>
        </w:rPr>
        <w:t xml:space="preserve">.</w:t>
      </w:r>
    </w:p>
    <w:p>
      <w:pPr>
        <w:pStyle w:val="NormalIndent"/>
      </w:pPr>
      <w:r>
        <w:rPr>
          <w:i/>
        </w:rPr>
        <w:t xml:space="preserve">1082 Fire services electrical - minor</w:t>
      </w:r>
      <w:r>
        <w:rPr>
          <w:i/>
        </w:rPr>
        <w:t xml:space="preserve">.</w:t>
      </w:r>
    </w:p>
    <w:p>
      <w:pPr>
        <w:pStyle w:val="NormalIndent"/>
      </w:pPr>
      <w:r>
        <w:rPr>
          <w:i/>
        </w:rPr>
        <w:t xml:space="preserve">1091 Fire services maintenance</w:t>
      </w:r>
      <w:r>
        <w:rPr>
          <w:i/>
        </w:rPr>
        <w:t xml:space="preserve">.</w:t>
      </w:r>
    </w:p>
    <w:bookmarkEnd w:id="51"/>
    <w:bookmarkEnd w:id="46"/>
    <w:bookmarkStart w:name="f-85546" w:id="52"/>
    <w:bookmarkStart w:name="f-85546-content" w:id="53"/>
    <w:p>
      <w:pPr>
        <w:pStyle w:val="Heading3"/>
      </w:pPr>
      <w:bookmarkStart w:name="h-85546-content" w:id="54"/>
      <w:r>
        <w:rPr/>
        <w:t xml:space="preserve">Standards</w:t>
      </w:r>
      <w:bookmarkEnd w:id="54"/>
    </w:p>
    <w:bookmarkEnd w:id="53"/>
    <w:bookmarkEnd w:id="52"/>
    <w:bookmarkStart w:name="f-203960" w:id="55"/>
    <w:bookmarkStart w:name="f-203960-title" w:id="56"/>
    <w:p>
      <w:pPr>
        <w:pStyle w:val="Heading4"/>
      </w:pPr>
      <w:bookmarkStart w:name="h-203960-title" w:id="57"/>
      <w:r>
        <w:rPr/>
        <w:t xml:space="preserve">General</w:t>
      </w:r>
      <w:bookmarkStart w:id="58" w:name="a-f-73333-content1"/>
      <w:bookmarkEnd w:id="58"/>
      <w:bookmarkStart w:id="59" w:name="a-f-73333"/>
      <w:bookmarkEnd w:id="59"/>
      <w:bookmarkEnd w:id="57"/>
    </w:p>
    <w:bookmarkEnd w:id="56"/>
    <w:bookmarkStart w:name="f-203960-1" w:id="60"/>
    <w:p>
      <w:pPr>
        <w:pStyle w:val="Normal"/>
      </w:pPr>
      <w:r>
        <w:rPr/>
        <w:t xml:space="preserve">Standards:</w:t>
      </w:r>
    </w:p>
    <w:p>
      <w:pPr>
        <w:pStyle w:val="NormalIndent"/>
      </w:pPr>
      <w:r>
        <w:rPr/>
        <w:t xml:space="preserve">General gaseous fire suppression systems: To AS 4214.</w:t>
      </w:r>
    </w:p>
    <w:p>
      <w:pPr>
        <w:pStyle w:val="NormalIndent"/>
      </w:pPr>
      <w:r>
        <w:rPr/>
        <w:t xml:space="preserve">Carbon dioxide fire suppression systems: To AS 6183.</w:t>
      </w:r>
    </w:p>
    <w:p>
      <w:pPr>
        <w:pStyle w:val="Instructions"/>
      </w:pPr>
      <w:r>
        <w:rPr/>
        <w:t xml:space="preserve">Note that carbon dioxide is no longer recommended for total flooding of occupied areas.</w:t>
      </w:r>
    </w:p>
    <w:p>
      <w:pPr>
        <w:pStyle w:val="Instructions"/>
      </w:pPr>
      <w:r>
        <w:rPr/>
        <w:t xml:space="preserve">For carbon dioxide systems for use in marine vessels, refer to AS 4214 Appendix A.</w:t>
      </w:r>
    </w:p>
    <w:p>
      <w:pPr>
        <w:pStyle w:val="Instructions"/>
      </w:pPr>
      <w:r>
        <w:rPr/>
        <w:t xml:space="preserve">Edit worksection to remove information relating carbon dioxide and AS 6183 if it is not being used.</w:t>
      </w:r>
    </w:p>
    <w:bookmarkEnd w:id="60"/>
    <w:bookmarkEnd w:id="55"/>
    <w:bookmarkStart w:name="f-88684" w:id="61"/>
    <w:bookmarkStart w:name="f-88684-content" w:id="62"/>
    <w:p>
      <w:pPr>
        <w:pStyle w:val="Heading3"/>
      </w:pPr>
      <w:bookmarkStart w:name="h-88684-content" w:id="63"/>
      <w:r>
        <w:rPr/>
        <w:t xml:space="preserve">Interpretation</w:t>
      </w:r>
      <w:bookmarkEnd w:id="63"/>
    </w:p>
    <w:bookmarkEnd w:id="62"/>
    <w:bookmarkEnd w:id="61"/>
    <w:bookmarkStart w:name="f-203954" w:id="64"/>
    <w:bookmarkStart w:name="f-203954-title" w:id="65"/>
    <w:p>
      <w:pPr>
        <w:pStyle w:val="Heading4"/>
      </w:pPr>
      <w:bookmarkStart w:name="h-203954-title" w:id="66"/>
      <w:r>
        <w:rPr/>
        <w:t xml:space="preserve">Definitions</w:t>
      </w:r>
      <w:bookmarkEnd w:id="66"/>
    </w:p>
    <w:bookmarkEnd w:id="65"/>
    <w:bookmarkStart w:name="f-203954-1" w:id="67"/>
    <w:p>
      <w:pPr>
        <w:pStyle w:val="Normal"/>
      </w:pPr>
      <w:r>
        <w:rPr/>
        <w:t xml:space="preserve">General: For the purposes of this worksection the definitions given in AS 4214 and AS 6183 apply.</w:t>
      </w:r>
    </w:p>
    <w:bookmarkEnd w:id="67"/>
    <w:bookmarkEnd w:id="64"/>
    <w:bookmarkStart w:name="f-93472" w:id="68"/>
    <w:bookmarkStart w:name="f-93472-content" w:id="69"/>
    <w:p>
      <w:pPr>
        <w:pStyle w:val="Heading3"/>
      </w:pPr>
      <w:bookmarkStart w:name="h-93472-content" w:id="70"/>
      <w:r>
        <w:rPr/>
        <w:t xml:space="preserve">Submissions</w:t>
      </w:r>
      <w:bookmarkEnd w:id="70"/>
    </w:p>
    <w:bookmarkEnd w:id="69"/>
    <w:bookmarkEnd w:id="68"/>
    <w:bookmarkStart w:name="f-203982" w:id="71"/>
    <w:bookmarkStart w:name="f-203982-1" w:id="72"/>
    <w:p>
      <w:pPr>
        <w:pStyle w:val="OptionalHeading4"/>
      </w:pPr>
      <w:r>
        <w:rPr>
          <w:b/>
        </w:rPr>
        <w:t xml:space="preserve">Design documentation</w:t>
      </w:r>
    </w:p>
    <w:p>
      <w:pPr>
        <w:pStyle w:val="OptionalNormal"/>
      </w:pPr>
      <w:r>
        <w:rPr/>
        <w:t xml:space="preserve">Calculations: Submit calculations for the gaseous fire suppression system, including:</w:t>
      </w:r>
    </w:p>
    <w:p>
      <w:pPr>
        <w:pStyle w:val="OptionalNormalIndent"/>
      </w:pPr>
      <w:r>
        <w:rPr/>
        <w:t xml:space="preserve">Flow calculations.</w:t>
      </w:r>
    </w:p>
    <w:p>
      <w:pPr>
        <w:pStyle w:val="OptionalNormalIndent"/>
      </w:pPr>
      <w:r>
        <w:rPr/>
        <w:t xml:space="preserve">Extinguishing agent concentrations.</w:t>
      </w:r>
    </w:p>
    <w:p>
      <w:pPr>
        <w:pStyle w:val="OptionalNormalIndent"/>
      </w:pPr>
      <w:r>
        <w:rPr/>
        <w:t xml:space="preserve">Total flooding quantity.</w:t>
      </w:r>
    </w:p>
    <w:p>
      <w:pPr>
        <w:pStyle w:val="OptionalNormalIndent"/>
      </w:pPr>
      <w:r>
        <w:rPr/>
        <w:t xml:space="preserve">Minimum discharge rates for liquified gases.</w:t>
      </w:r>
    </w:p>
    <w:p>
      <w:pPr>
        <w:pStyle w:val="OptionalNormalIndent"/>
      </w:pPr>
      <w:r>
        <w:rPr/>
        <w:t xml:space="preserve">Over and under pressure of the protected enclosure, including venting calculations.</w:t>
      </w:r>
    </w:p>
    <w:p>
      <w:pPr>
        <w:pStyle w:val="OptionalNormal"/>
      </w:pPr>
      <w:r>
        <w:rPr/>
        <w:t xml:space="preserve">Calculation method: To AS 4214.</w:t>
      </w:r>
    </w:p>
    <w:p>
      <w:pPr>
        <w:pStyle w:val="OptionalNormal"/>
      </w:pPr>
      <w:r>
        <w:rPr/>
        <w:t xml:space="preserve">Drawings: Based on the calculations, submit drawings showing the gaseous fire suppression system, including storage containers and their location, piping, nozzles, valves and fittings.</w:t>
      </w:r>
    </w:p>
    <w:p>
      <w:pPr>
        <w:pStyle w:val="Instructions"/>
      </w:pPr>
      <w:r>
        <w:rPr/>
        <w:t xml:space="preserve">If the contractor is to design and select the gaseous fire suppression system, include this </w:t>
      </w:r>
      <w:r>
        <w:rPr>
          <w:i/>
        </w:rPr>
        <w:t xml:space="preserve">Optional</w:t>
      </w:r>
      <w:r>
        <w:rPr/>
        <w:t xml:space="preserve"> style text by changing to </w:t>
      </w:r>
      <w:r>
        <w:rPr>
          <w:i/>
        </w:rPr>
        <w:t xml:space="preserve">Normal</w:t>
      </w:r>
      <w:r>
        <w:rPr/>
        <w:t xml:space="preserve"> style text.</w:t>
      </w:r>
    </w:p>
    <w:bookmarkEnd w:id="72"/>
    <w:bookmarkEnd w:id="71"/>
    <w:bookmarkStart w:name="f-203921" w:id="73"/>
    <w:bookmarkStart w:name="f-203921-title" w:id="74"/>
    <w:p>
      <w:pPr>
        <w:pStyle w:val="Heading4"/>
      </w:pPr>
      <w:bookmarkStart w:name="h-203921-title" w:id="75"/>
      <w:r>
        <w:rPr/>
        <w:t xml:space="preserve">Products and materials</w:t>
      </w:r>
      <w:bookmarkEnd w:id="75"/>
    </w:p>
    <w:bookmarkEnd w:id="74"/>
    <w:bookmarkStart w:name="f-203921-1" w:id="76"/>
    <w:p>
      <w:pPr>
        <w:pStyle w:val="Normal"/>
      </w:pPr>
      <w:r>
        <w:rPr/>
        <w:t xml:space="preserve">Technical data: To </w:t>
      </w:r>
      <w:r>
        <w:rPr>
          <w:i/>
        </w:rPr>
        <w:t xml:space="preserve">1001 Fire services systems</w:t>
      </w:r>
      <w:r>
        <w:rPr>
          <w:i/>
        </w:rPr>
        <w:t xml:space="preserve">.</w:t>
      </w:r>
    </w:p>
    <w:bookmarkEnd w:id="76"/>
    <w:bookmarkEnd w:id="73"/>
    <w:bookmarkStart w:name="f-203918" w:id="77"/>
    <w:bookmarkStart w:name="f-203918-title" w:id="78"/>
    <w:p>
      <w:pPr>
        <w:pStyle w:val="Heading4"/>
      </w:pPr>
      <w:bookmarkStart w:name="h-203918-title" w:id="79"/>
      <w:r>
        <w:rPr/>
        <w:t xml:space="preserve">Samples</w:t>
      </w:r>
      <w:bookmarkStart w:id="80" w:name="a-f-86658-content1"/>
      <w:bookmarkEnd w:id="80"/>
      <w:bookmarkStart w:id="81" w:name="a-f-86658"/>
      <w:bookmarkEnd w:id="81"/>
      <w:bookmarkEnd w:id="79"/>
    </w:p>
    <w:bookmarkEnd w:id="78"/>
    <w:bookmarkStart w:name="f-203918-1" w:id="82"/>
    <w:p>
      <w:pPr>
        <w:pStyle w:val="Normal"/>
      </w:pPr>
      <w:r>
        <w:rPr/>
        <w:t xml:space="preserve">General: Submit samples of accessories not documented as proprietary items, including the following:</w:t>
      </w:r>
    </w:p>
    <w:p>
      <w:pPr>
        <w:pStyle w:val="NormalIndent"/>
      </w:pPr>
      <w:r>
        <w:rPr/>
        <w:t xml:space="preserve">Storage containers.</w:t>
      </w:r>
    </w:p>
    <w:p>
      <w:pPr>
        <w:pStyle w:val="NormalIndent"/>
      </w:pPr>
      <w:r>
        <w:rPr/>
        <w:t xml:space="preserve">Nozzles.</w:t>
      </w:r>
    </w:p>
    <w:p>
      <w:pPr>
        <w:pStyle w:val="NormalIndent"/>
      </w:pPr>
      <w:r>
        <w:rPr/>
        <w:t xml:space="preserve">Pressure relief vents including external weather louvres, anti-vermin mesh and anti-intrusion bars, if required.</w:t>
      </w:r>
    </w:p>
    <w:p>
      <w:pPr>
        <w:pStyle w:val="NormalIndent"/>
      </w:pPr>
      <w:r>
        <w:rPr/>
        <w:t xml:space="preserve">Vandal resistant container enclosures.</w:t>
      </w:r>
    </w:p>
    <w:p>
      <w:pPr>
        <w:pStyle w:val="Instructions"/>
      </w:pPr>
      <w:r>
        <w:rPr/>
        <w:t xml:space="preserve">Edit list to suit project. Consider deleting if technical data is sufficient.</w:t>
      </w:r>
    </w:p>
    <w:bookmarkEnd w:id="82"/>
    <w:bookmarkEnd w:id="77"/>
    <w:bookmarkStart w:name="f-199588" w:id="83"/>
    <w:bookmarkStart w:name="f-199588-1" w:id="84"/>
    <w:p>
      <w:pPr>
        <w:pStyle w:val="Heading4"/>
      </w:pPr>
      <w:bookmarkStart w:name="h-199588-1" w:id="85"/>
      <w:r>
        <w:rPr/>
        <w:t xml:space="preserve">Tests</w:t>
      </w:r>
      <w:bookmarkEnd w:id="85"/>
    </w:p>
    <w:p>
      <w:pPr>
        <w:pStyle w:val="Normal"/>
      </w:pPr>
      <w:r>
        <w:rPr/>
        <w:t xml:space="preserve">Results: Submit commissioning and testing results upon completion.</w:t>
      </w:r>
    </w:p>
    <w:bookmarkEnd w:id="84"/>
    <w:bookmarkEnd w:id="83"/>
    <w:bookmarkStart w:name="f-94158" w:id="86"/>
    <w:bookmarkStart w:name="f-94158-content" w:id="87"/>
    <w:p>
      <w:pPr>
        <w:pStyle w:val="Heading3"/>
      </w:pPr>
      <w:bookmarkStart w:name="h-94158-content" w:id="88"/>
      <w:r>
        <w:rPr/>
        <w:t xml:space="preserve">Inspection</w:t>
      </w:r>
      <w:bookmarkEnd w:id="88"/>
    </w:p>
    <w:bookmarkEnd w:id="87"/>
    <w:bookmarkEnd w:id="86"/>
    <w:bookmarkStart w:name="f-203962" w:id="89"/>
    <w:bookmarkStart w:name="f-203962-title" w:id="90"/>
    <w:p>
      <w:pPr>
        <w:pStyle w:val="Heading4"/>
      </w:pPr>
      <w:bookmarkStart w:name="h-203962-title" w:id="91"/>
      <w:r>
        <w:rPr/>
        <w:t xml:space="preserve">Notice</w:t>
      </w:r>
      <w:bookmarkStart w:id="92" w:name="a-f-78805-content1"/>
      <w:bookmarkEnd w:id="92"/>
      <w:bookmarkStart w:id="93" w:name="a-f-78805"/>
      <w:bookmarkEnd w:id="93"/>
      <w:bookmarkEnd w:id="91"/>
    </w:p>
    <w:bookmarkEnd w:id="90"/>
    <w:bookmarkStart w:name="f-203962-1" w:id="94"/>
    <w:p>
      <w:pPr>
        <w:pStyle w:val="Normal"/>
      </w:pPr>
      <w:r>
        <w:rPr/>
        <w:t xml:space="preserve">Inspection: Give notice so that inspection may be made of the following:</w:t>
      </w:r>
    </w:p>
    <w:p>
      <w:pPr>
        <w:pStyle w:val="NormalIndent"/>
      </w:pPr>
      <w:r>
        <w:rPr/>
        <w:t xml:space="preserve">Completed container enclosures.</w:t>
      </w:r>
    </w:p>
    <w:p>
      <w:pPr>
        <w:pStyle w:val="NormalIndent"/>
      </w:pPr>
      <w:r>
        <w:rPr/>
        <w:t xml:space="preserve">System ready for testing.</w:t>
      </w:r>
    </w:p>
    <w:p>
      <w:pPr>
        <w:pStyle w:val="NormalIndent"/>
      </w:pPr>
      <w:r>
        <w:rPr/>
        <w:t xml:space="preserve">Enclosed work ready to be covered or concealed.</w:t>
      </w:r>
    </w:p>
    <w:p>
      <w:pPr>
        <w:pStyle w:val="Instructions"/>
      </w:pPr>
      <w:r>
        <w:rPr/>
        <w:t xml:space="preserve">Amend to suit the project adding critical stage inspections required.</w:t>
      </w:r>
    </w:p>
    <w:p>
      <w:pPr>
        <w:pStyle w:val="Instructions"/>
      </w:pPr>
      <w:r>
        <w:rPr>
          <w:b/>
        </w:rPr>
        <w:t xml:space="preserve">Hold points</w:t>
      </w:r>
      <w:r>
        <w:rPr/>
        <w:t xml:space="preserve">, if required, should be inserted here.</w:t>
      </w:r>
    </w:p>
    <w:bookmarkEnd w:id="94"/>
    <w:bookmarkEnd w:id="89"/>
    <w:bookmarkStart w:name="f-77077" w:id="95"/>
    <w:bookmarkStart w:name="f-77077-content" w:id="96"/>
    <w:p>
      <w:pPr>
        <w:pStyle w:val="Heading2"/>
      </w:pPr>
      <w:bookmarkStart w:name="h-77077-content" w:id="97"/>
      <w:r>
        <w:rPr/>
        <w:t xml:space="preserve">Products</w:t>
      </w:r>
      <w:bookmarkEnd w:id="97"/>
    </w:p>
    <w:bookmarkEnd w:id="96"/>
    <w:bookmarkEnd w:id="95"/>
    <w:bookmarkStart w:name="f-203928" w:id="98"/>
    <w:bookmarkStart w:name="f-203928-title" w:id="99"/>
    <w:p>
      <w:pPr>
        <w:pStyle w:val="Heading3"/>
      </w:pPr>
      <w:bookmarkStart w:name="h-203928-title" w:id="100"/>
      <w:r>
        <w:rPr/>
        <w:t xml:space="preserve">Extinguishing agent</w:t>
      </w:r>
      <w:bookmarkStart w:id="101" w:name="a-f-87448-content"/>
      <w:bookmarkEnd w:id="101"/>
      <w:bookmarkEnd w:id="100"/>
    </w:p>
    <w:bookmarkEnd w:id="99"/>
    <w:bookmarkStart w:name="f-203928-1" w:id="102"/>
    <w:bookmarkEnd w:id="102"/>
    <w:bookmarkEnd w:id="98"/>
    <w:bookmarkStart w:name="f-203914" w:id="103"/>
    <w:bookmarkStart w:name="f-203914-title" w:id="104"/>
    <w:p>
      <w:pPr>
        <w:pStyle w:val="Heading4"/>
      </w:pPr>
      <w:bookmarkStart w:name="h-203914-title" w:id="105"/>
      <w:r>
        <w:rPr/>
        <w:t xml:space="preserve">General</w:t>
      </w:r>
      <w:bookmarkEnd w:id="105"/>
    </w:p>
    <w:bookmarkEnd w:id="104"/>
    <w:bookmarkStart w:name="f-203914-1" w:id="106"/>
    <w:p>
      <w:pPr>
        <w:pStyle w:val="Normal"/>
      </w:pPr>
      <w:r>
        <w:rPr/>
        <w:t xml:space="preserve">Standard:</w:t>
      </w:r>
    </w:p>
    <w:p>
      <w:pPr>
        <w:pStyle w:val="NormalIndent"/>
      </w:pPr>
      <w:r>
        <w:rPr/>
        <w:t xml:space="preserve">Carbon dioxide: To AS 4078.</w:t>
      </w:r>
    </w:p>
    <w:p>
      <w:pPr>
        <w:pStyle w:val="NormalIndent"/>
      </w:pPr>
      <w:r>
        <w:rPr/>
        <w:t xml:space="preserve">Other extinguishing agents: To AS 4214.</w:t>
      </w:r>
    </w:p>
    <w:p>
      <w:pPr>
        <w:pStyle w:val="Normal"/>
      </w:pPr>
      <w:r>
        <w:rPr/>
        <w:t xml:space="preserve">Requirement: To the </w:t>
      </w:r>
      <w:hyperlink w:anchor="f-203967" w:history="1">
        <w:r>
          <w:rPr>
            <w:rStyle w:val="DefaultParagraphFont"/>
            <w:b/>
          </w:rPr>
          <w:t>Extinguishing agent schedule</w:t>
        </w:r>
      </w:hyperlink>
      <w:r>
        <w:rPr>
          <w:b/>
        </w:rPr>
        <w:t xml:space="preserve">.</w:t>
      </w:r>
    </w:p>
    <w:bookmarkEnd w:id="106"/>
    <w:bookmarkEnd w:id="103"/>
    <w:bookmarkStart w:name="f-203988" w:id="107"/>
    <w:bookmarkStart w:name="f-203988-title" w:id="108"/>
    <w:p>
      <w:pPr>
        <w:pStyle w:val="Heading3"/>
      </w:pPr>
      <w:bookmarkStart w:name="h-203988-title" w:id="109"/>
      <w:r>
        <w:rPr/>
        <w:t xml:space="preserve">Storage containers</w:t>
      </w:r>
      <w:bookmarkEnd w:id="109"/>
    </w:p>
    <w:bookmarkEnd w:id="108"/>
    <w:bookmarkStart w:name="f-203988-1" w:id="110"/>
    <w:bookmarkEnd w:id="110"/>
    <w:bookmarkEnd w:id="107"/>
    <w:bookmarkStart w:name="f-203974" w:id="111"/>
    <w:bookmarkStart w:name="f-203974-title" w:id="112"/>
    <w:p>
      <w:pPr>
        <w:pStyle w:val="Heading4"/>
      </w:pPr>
      <w:bookmarkStart w:name="h-203974-title" w:id="113"/>
      <w:r>
        <w:rPr/>
        <w:t xml:space="preserve">General</w:t>
      </w:r>
      <w:bookmarkEnd w:id="113"/>
    </w:p>
    <w:bookmarkEnd w:id="112"/>
    <w:bookmarkStart w:name="f-203974-1" w:id="114"/>
    <w:p>
      <w:pPr>
        <w:pStyle w:val="Normal"/>
      </w:pPr>
      <w:r>
        <w:rPr/>
        <w:t xml:space="preserve">Standard: To AS 2030.1.</w:t>
      </w:r>
    </w:p>
    <w:p>
      <w:pPr>
        <w:pStyle w:val="Instructions"/>
      </w:pPr>
      <w:r>
        <w:rPr/>
        <w:t xml:space="preserve">Consider the need for pressure relief devices, if required nominate here.</w:t>
      </w:r>
    </w:p>
    <w:p>
      <w:pPr>
        <w:pStyle w:val="Normal"/>
      </w:pPr>
      <w:r>
        <w:rPr/>
        <w:t xml:space="preserve">Requirement: To the </w:t>
      </w:r>
      <w:hyperlink w:anchor="f-203920" w:history="1">
        <w:r>
          <w:rPr>
            <w:rStyle w:val="DefaultParagraphFont"/>
            <w:b/>
          </w:rPr>
          <w:t>Storage container schedule</w:t>
        </w:r>
      </w:hyperlink>
      <w:r>
        <w:rPr/>
        <w:t xml:space="preserve">.</w:t>
      </w:r>
    </w:p>
    <w:p>
      <w:pPr>
        <w:pStyle w:val="Normal"/>
      </w:pPr>
      <w:r>
        <w:rPr/>
        <w:t xml:space="preserve">Marking: To AS 4214 clause 6.2.4.3 or AS 6183 clause 6.2.4.2 for carbon dioxide systems.</w:t>
      </w:r>
    </w:p>
    <w:p>
      <w:pPr>
        <w:pStyle w:val="Normal"/>
      </w:pPr>
      <w:r>
        <w:rPr/>
        <w:t xml:space="preserve">Release devices: Provide release devices that can be removed from the storage container without discharging the container.</w:t>
      </w:r>
    </w:p>
    <w:p>
      <w:pPr>
        <w:pStyle w:val="Normal"/>
      </w:pPr>
      <w:r>
        <w:rPr/>
        <w:t xml:space="preserve">Container valves: To AS 2473.1 with strength sufficient to remain operational following impact with an object on the ground due to the fully charged storage container toppling from vertical position.</w:t>
      </w:r>
    </w:p>
    <w:bookmarkEnd w:id="114"/>
    <w:bookmarkEnd w:id="111"/>
    <w:bookmarkStart w:name="f-68625" w:id="115"/>
    <w:bookmarkStart w:name="f-68625-content" w:id="116"/>
    <w:p>
      <w:pPr>
        <w:pStyle w:val="Heading3"/>
      </w:pPr>
      <w:bookmarkStart w:name="h-68625-content" w:id="117"/>
      <w:r>
        <w:rPr/>
        <w:t xml:space="preserve">Distribution system</w:t>
      </w:r>
      <w:bookmarkEnd w:id="117"/>
    </w:p>
    <w:bookmarkEnd w:id="116"/>
    <w:bookmarkEnd w:id="115"/>
    <w:bookmarkStart w:name="f-203992" w:id="118"/>
    <w:bookmarkStart w:name="f-203992-title" w:id="119"/>
    <w:p>
      <w:pPr>
        <w:pStyle w:val="Heading4"/>
      </w:pPr>
      <w:bookmarkStart w:name="h-203992-title" w:id="120"/>
      <w:r>
        <w:rPr/>
        <w:t xml:space="preserve">General</w:t>
      </w:r>
      <w:bookmarkEnd w:id="120"/>
    </w:p>
    <w:bookmarkEnd w:id="119"/>
    <w:bookmarkStart w:name="f-203992-1" w:id="121"/>
    <w:p>
      <w:pPr>
        <w:pStyle w:val="Normal"/>
      </w:pPr>
      <w:r>
        <w:rPr/>
        <w:t xml:space="preserve">Requirement: To AS 4214 clause 6.3 or AS 6183 clause 6.3 for carbon dioxide systems.</w:t>
      </w:r>
    </w:p>
    <w:p>
      <w:pPr>
        <w:pStyle w:val="Instructions"/>
      </w:pPr>
      <w:r>
        <w:rPr/>
        <w:t xml:space="preserve">Consider the need to include a requirement that no parts of the system shall require replacement after discharge other than gaskets, lubricants and the extinguishing agent. If required, nominate here.</w:t>
      </w:r>
    </w:p>
    <w:p>
      <w:pPr>
        <w:pStyle w:val="Normal"/>
      </w:pPr>
      <w:r>
        <w:rPr/>
        <w:t xml:space="preserve">Materials: Non-combustible to AS 1530.1.</w:t>
      </w:r>
    </w:p>
    <w:p>
      <w:pPr>
        <w:pStyle w:val="Normal"/>
      </w:pPr>
      <w:r>
        <w:rPr/>
        <w:t xml:space="preserve">Dissimilar metals: If dissimilar metal materials are proposed for any part of the systems, provide an industrial grade electrically non-conductive isolation material between the dissimilar metal surfaces to separate them, preventing corrosion. Provide fixings of electrolytically compatible material.</w:t>
      </w:r>
    </w:p>
    <w:p>
      <w:pPr>
        <w:pStyle w:val="Normal"/>
      </w:pPr>
      <w:r>
        <w:rPr/>
        <w:t xml:space="preserve">Corrosion resistance: Corrosion-resistant materials or coatings shall be used in highly corrosive atmospheric conditions.</w:t>
      </w:r>
    </w:p>
    <w:bookmarkEnd w:id="121"/>
    <w:bookmarkEnd w:id="118"/>
    <w:bookmarkStart w:name="f-203923" w:id="122"/>
    <w:bookmarkStart w:name="f-203923-title" w:id="123"/>
    <w:p>
      <w:pPr>
        <w:pStyle w:val="Heading4"/>
      </w:pPr>
      <w:bookmarkStart w:name="h-203923-title" w:id="124"/>
      <w:r>
        <w:rPr/>
        <w:t xml:space="preserve">Piping</w:t>
      </w:r>
      <w:bookmarkEnd w:id="124"/>
    </w:p>
    <w:bookmarkEnd w:id="123"/>
    <w:bookmarkStart w:name="f-203923-1" w:id="125"/>
    <w:p>
      <w:pPr>
        <w:pStyle w:val="Normal"/>
      </w:pPr>
      <w:r>
        <w:rPr/>
        <w:t xml:space="preserve">Standard: To AS 4041.</w:t>
      </w:r>
    </w:p>
    <w:p>
      <w:pPr>
        <w:pStyle w:val="Normal"/>
      </w:pPr>
      <w:r>
        <w:rPr/>
        <w:t xml:space="preserve">Requirement: To the </w:t>
      </w:r>
      <w:hyperlink w:anchor="f-203957" w:history="1">
        <w:r>
          <w:rPr>
            <w:rStyle w:val="DefaultParagraphFont"/>
            <w:b/>
          </w:rPr>
          <w:t>Piping schedule</w:t>
        </w:r>
      </w:hyperlink>
      <w:r>
        <w:rPr/>
        <w:t xml:space="preserve">.</w:t>
      </w:r>
    </w:p>
    <w:bookmarkEnd w:id="125"/>
    <w:bookmarkEnd w:id="122"/>
    <w:bookmarkStart w:name="f-203912" w:id="126"/>
    <w:bookmarkStart w:name="f-203912-title" w:id="127"/>
    <w:p>
      <w:pPr>
        <w:pStyle w:val="Heading4"/>
      </w:pPr>
      <w:bookmarkStart w:name="h-203912-title" w:id="128"/>
      <w:r>
        <w:rPr/>
        <w:t xml:space="preserve">Fittings</w:t>
      </w:r>
      <w:bookmarkEnd w:id="128"/>
    </w:p>
    <w:bookmarkEnd w:id="127"/>
    <w:bookmarkStart w:name="f-203912-1" w:id="129"/>
    <w:p>
      <w:pPr>
        <w:pStyle w:val="Normal"/>
      </w:pPr>
      <w:r>
        <w:rPr/>
        <w:t xml:space="preserve">Requirement: To AS 4214 clause 6.3.3 or AS 6183 clause 6.3.3 for carbon dioxide systems.</w:t>
      </w:r>
    </w:p>
    <w:p>
      <w:pPr>
        <w:pStyle w:val="Normal"/>
      </w:pPr>
      <w:r>
        <w:rPr/>
        <w:t xml:space="preserve">Cast Iron: Not permitted.</w:t>
      </w:r>
    </w:p>
    <w:p>
      <w:pPr>
        <w:pStyle w:val="Normal"/>
      </w:pPr>
      <w:r>
        <w:rPr/>
        <w:t xml:space="preserve">Welding: To AS 4041.</w:t>
      </w:r>
    </w:p>
    <w:bookmarkEnd w:id="129"/>
    <w:bookmarkEnd w:id="126"/>
    <w:bookmarkStart w:name="f-203989" w:id="130"/>
    <w:bookmarkStart w:name="f-203989-title" w:id="131"/>
    <w:p>
      <w:pPr>
        <w:pStyle w:val="Heading4"/>
      </w:pPr>
      <w:bookmarkStart w:name="h-203989-title" w:id="132"/>
      <w:r>
        <w:rPr/>
        <w:t xml:space="preserve">Supports</w:t>
      </w:r>
      <w:bookmarkEnd w:id="132"/>
    </w:p>
    <w:bookmarkEnd w:id="131"/>
    <w:bookmarkStart w:name="f-203989-1" w:id="133"/>
    <w:p>
      <w:pPr>
        <w:pStyle w:val="Normal"/>
      </w:pPr>
      <w:r>
        <w:rPr/>
        <w:t xml:space="preserve">Requirement: Suitable for the expected temperature fluctuations and able to withstand the dynamic and static forces imposed by system at discharge. </w:t>
      </w:r>
    </w:p>
    <w:bookmarkEnd w:id="133"/>
    <w:bookmarkEnd w:id="130"/>
    <w:bookmarkStart w:name="f-203919" w:id="134"/>
    <w:bookmarkStart w:name="f-203919-title" w:id="135"/>
    <w:p>
      <w:pPr>
        <w:pStyle w:val="Heading4"/>
      </w:pPr>
      <w:bookmarkStart w:name="h-203919-title" w:id="136"/>
      <w:r>
        <w:rPr/>
        <w:t xml:space="preserve">Valves</w:t>
      </w:r>
      <w:bookmarkEnd w:id="136"/>
    </w:p>
    <w:bookmarkEnd w:id="135"/>
    <w:bookmarkStart w:name="f-203919-1" w:id="137"/>
    <w:p>
      <w:pPr>
        <w:pStyle w:val="Normal"/>
      </w:pPr>
      <w:r>
        <w:rPr/>
        <w:t xml:space="preserve">Standard: To AS ISO 16003.</w:t>
      </w:r>
    </w:p>
    <w:p>
      <w:pPr>
        <w:pStyle w:val="Normal"/>
      </w:pPr>
      <w:r>
        <w:rPr/>
        <w:t xml:space="preserve">Requirement: Suitable for service at the documented pressure and the anticipated minimum and maximum temperatures.</w:t>
      </w:r>
    </w:p>
    <w:bookmarkEnd w:id="137"/>
    <w:bookmarkEnd w:id="134"/>
    <w:bookmarkStart w:name="f-203987" w:id="138"/>
    <w:bookmarkStart w:name="f-203987-title" w:id="139"/>
    <w:p>
      <w:pPr>
        <w:pStyle w:val="Heading4"/>
      </w:pPr>
      <w:bookmarkStart w:name="h-203987-title" w:id="140"/>
      <w:r>
        <w:rPr/>
        <w:t xml:space="preserve">Nozzles</w:t>
      </w:r>
      <w:bookmarkEnd w:id="140"/>
    </w:p>
    <w:bookmarkEnd w:id="139"/>
    <w:bookmarkStart w:name="f-203987-1" w:id="141"/>
    <w:p>
      <w:pPr>
        <w:pStyle w:val="Normal"/>
      </w:pPr>
      <w:r>
        <w:rPr/>
        <w:t xml:space="preserve">Standard: To AS ISO 16003.</w:t>
      </w:r>
    </w:p>
    <w:p>
      <w:pPr>
        <w:pStyle w:val="Normal"/>
      </w:pPr>
      <w:r>
        <w:rPr/>
        <w:t xml:space="preserve">Requirement: To AS 4214 clause 6.3.6, AS 6183 clause 6.3.6 and the </w:t>
      </w:r>
      <w:hyperlink w:anchor="f-203947" w:history="1">
        <w:r>
          <w:rPr>
            <w:rStyle w:val="DefaultParagraphFont"/>
            <w:b/>
          </w:rPr>
          <w:t>Nozzle schedule</w:t>
        </w:r>
      </w:hyperlink>
      <w:r>
        <w:rPr/>
        <w:t xml:space="preserve">.</w:t>
      </w:r>
    </w:p>
    <w:p>
      <w:pPr>
        <w:pStyle w:val="Normal"/>
      </w:pPr>
      <w:r>
        <w:rPr/>
        <w:t xml:space="preserve">Marking: Permanently marked to identify the type and size of nozzle, visible following installation.</w:t>
      </w:r>
    </w:p>
    <w:bookmarkEnd w:id="141"/>
    <w:bookmarkEnd w:id="138"/>
    <w:bookmarkStart w:name="f-203973" w:id="142"/>
    <w:bookmarkStart w:name="f-203973-title" w:id="143"/>
    <w:p>
      <w:pPr>
        <w:pStyle w:val="Heading3"/>
      </w:pPr>
      <w:bookmarkStart w:name="h-203973-title" w:id="144"/>
      <w:r>
        <w:rPr/>
        <w:t xml:space="preserve">Detection, actuation and control systems</w:t>
      </w:r>
      <w:bookmarkEnd w:id="144"/>
    </w:p>
    <w:bookmarkEnd w:id="143"/>
    <w:bookmarkStart w:name="f-203973-1" w:id="145"/>
    <w:bookmarkEnd w:id="145"/>
    <w:bookmarkEnd w:id="142"/>
    <w:bookmarkStart w:name="f-203961" w:id="146"/>
    <w:bookmarkStart w:name="f-203961-title" w:id="147"/>
    <w:p>
      <w:pPr>
        <w:pStyle w:val="Heading4"/>
      </w:pPr>
      <w:bookmarkStart w:name="h-203961-title" w:id="148"/>
      <w:r>
        <w:rPr/>
        <w:t xml:space="preserve">General</w:t>
      </w:r>
      <w:bookmarkEnd w:id="148"/>
    </w:p>
    <w:bookmarkEnd w:id="147"/>
    <w:bookmarkStart w:name="f-203961-1" w:id="149"/>
    <w:p>
      <w:pPr>
        <w:pStyle w:val="Normal"/>
      </w:pPr>
      <w:r>
        <w:rPr/>
        <w:t xml:space="preserve">Requirement: To AS 4214 clause 6.4 or AS 6183 clause 6.5 for carbon dioxide systems.</w:t>
      </w:r>
    </w:p>
    <w:p>
      <w:pPr>
        <w:pStyle w:val="Normal"/>
      </w:pPr>
      <w:r>
        <w:rPr/>
        <w:t xml:space="preserve">Pyrotechnic actuator: Not permitted.</w:t>
      </w:r>
    </w:p>
    <w:p>
      <w:pPr>
        <w:pStyle w:val="Instructions"/>
      </w:pPr>
      <w:r>
        <w:rPr/>
        <w:t xml:space="preserve">Consider amending the default here if required.</w:t>
      </w:r>
    </w:p>
    <w:bookmarkEnd w:id="149"/>
    <w:bookmarkEnd w:id="146"/>
    <w:bookmarkStart w:name="f-203985" w:id="150"/>
    <w:bookmarkStart w:name="f-203985-title" w:id="151"/>
    <w:p>
      <w:pPr>
        <w:pStyle w:val="Heading4"/>
      </w:pPr>
      <w:bookmarkStart w:name="h-203985-title" w:id="152"/>
      <w:r>
        <w:rPr/>
        <w:t xml:space="preserve">Automatic detection and alarms</w:t>
      </w:r>
      <w:bookmarkEnd w:id="152"/>
    </w:p>
    <w:bookmarkEnd w:id="151"/>
    <w:bookmarkStart w:name="f-203985-1" w:id="153"/>
    <w:p>
      <w:pPr>
        <w:pStyle w:val="Normal"/>
      </w:pPr>
      <w:r>
        <w:rPr/>
        <w:t xml:space="preserve">Requirement: To </w:t>
      </w:r>
      <w:r>
        <w:rPr>
          <w:i/>
        </w:rPr>
        <w:t xml:space="preserve">1072 Fire detection and alarms</w:t>
      </w:r>
      <w:r>
        <w:rPr/>
        <w:t xml:space="preserve">.</w:t>
      </w:r>
    </w:p>
    <w:bookmarkEnd w:id="153"/>
    <w:bookmarkEnd w:id="150"/>
    <w:bookmarkStart w:name="f-203934" w:id="154"/>
    <w:bookmarkStart w:name="f-203934-title" w:id="155"/>
    <w:p>
      <w:pPr>
        <w:pStyle w:val="Heading4"/>
      </w:pPr>
      <w:bookmarkStart w:name="h-203934-title" w:id="156"/>
      <w:r>
        <w:rPr/>
        <w:t xml:space="preserve">Automatic operation</w:t>
      </w:r>
      <w:bookmarkEnd w:id="156"/>
    </w:p>
    <w:bookmarkEnd w:id="155"/>
    <w:bookmarkStart w:name="f-203934-1" w:id="157"/>
    <w:p>
      <w:pPr>
        <w:pStyle w:val="Normal"/>
      </w:pPr>
      <w:r>
        <w:rPr/>
        <w:t xml:space="preserve">Requirement: System to perform all functions necessary for the successful operation of the system, including time delay and ancillary functions.</w:t>
      </w:r>
    </w:p>
    <w:p>
      <w:pPr>
        <w:pStyle w:val="Instructions"/>
      </w:pPr>
      <w:r>
        <w:rPr/>
        <w:t xml:space="preserve">Ancillary functions may include shutdown, damper closure, fuel shut-off, etc.</w:t>
      </w:r>
    </w:p>
    <w:p>
      <w:pPr>
        <w:pStyle w:val="Instructions"/>
      </w:pPr>
      <w:r>
        <w:rPr/>
        <w:t xml:space="preserve">Select the desired actuation method from those listed below and provide the information required. Alternatively state 'To manufacturer’s recommendations’ and nominate the manufacturer. Automatic systems shall also be provided with a means of manual operation.</w:t>
      </w:r>
    </w:p>
    <w:p>
      <w:pPr>
        <w:pStyle w:val="Normal"/>
      </w:pPr>
      <w:r>
        <w:rPr/>
        <w:t xml:space="preserve">Pneumatic actuator: Operated by pressure from a reliable stored source, as follows:</w:t>
      </w:r>
    </w:p>
    <w:p>
      <w:pPr>
        <w:pStyle w:val="Promptindent"/>
      </w:pPr>
      <w:r>
        <w:rPr/>
        <w:t xml:space="preserve">Nominal minimum pressure supply: </w:t>
      </w:r>
      <w:r>
        <w:fldChar w:fldCharType="begin"/>
        <w:instrText xml:space="preserve"> MACROBUTTON  ac_OnHelp [complete/delete]</w:instrText>
        <w:fldChar w:fldCharType="separate"/>
        <w:t xml:space="preserve"> </w:t>
        <w:fldChar w:fldCharType="end"/>
      </w:r>
    </w:p>
    <w:p>
      <w:pPr>
        <w:pStyle w:val="Promptindent"/>
      </w:pPr>
      <w:r>
        <w:rPr/>
        <w:t xml:space="preserve">Nominal maximum pressure supply: </w:t>
      </w:r>
      <w:r>
        <w:fldChar w:fldCharType="begin"/>
        <w:instrText xml:space="preserve"> MACROBUTTON  ac_OnHelp [complete/delete]</w:instrText>
        <w:fldChar w:fldCharType="separate"/>
        <w:t xml:space="preserve"> </w:t>
        <w:fldChar w:fldCharType="end"/>
      </w:r>
    </w:p>
    <w:p>
      <w:pPr>
        <w:pStyle w:val="Normal"/>
      </w:pPr>
      <w:r>
        <w:rPr/>
        <w:t xml:space="preserve">Electric actuator: Powered by a supply independent to the hazard area supply. Provide a secondary power supply with automatic changeover upon failure of primary supply, to AS 1670.5 and as follows:</w:t>
      </w:r>
    </w:p>
    <w:p>
      <w:pPr>
        <w:pStyle w:val="Promptindent"/>
      </w:pPr>
      <w:r>
        <w:rPr/>
        <w:t xml:space="preserve">Minimum voltage: </w:t>
      </w:r>
      <w:r>
        <w:fldChar w:fldCharType="begin"/>
        <w:instrText xml:space="preserve"> MACROBUTTON  ac_OnHelp [complete/delete]</w:instrText>
        <w:fldChar w:fldCharType="separate"/>
        <w:t xml:space="preserve"> </w:t>
        <w:fldChar w:fldCharType="end"/>
      </w:r>
    </w:p>
    <w:p>
      <w:pPr>
        <w:pStyle w:val="Promptindent"/>
      </w:pPr>
      <w:r>
        <w:rPr/>
        <w:t xml:space="preserve">Maximum voltage: </w:t>
      </w:r>
      <w:r>
        <w:fldChar w:fldCharType="begin"/>
        <w:instrText xml:space="preserve"> MACROBUTTON  ac_OnHelp [complete/delete]</w:instrText>
        <w:fldChar w:fldCharType="separate"/>
        <w:t xml:space="preserve"> </w:t>
        <w:fldChar w:fldCharType="end"/>
      </w:r>
    </w:p>
    <w:p>
      <w:pPr>
        <w:pStyle w:val="Promptindent"/>
      </w:pPr>
      <w:r>
        <w:rPr/>
        <w:t xml:space="preserve">Minimum current: </w:t>
      </w:r>
      <w:r>
        <w:fldChar w:fldCharType="begin"/>
        <w:instrText xml:space="preserve"> MACROBUTTON  ac_OnHelp [complete/delete]</w:instrText>
        <w:fldChar w:fldCharType="separate"/>
        <w:t xml:space="preserve"> </w:t>
        <w:fldChar w:fldCharType="end"/>
      </w:r>
      <w:r>
        <w:rPr/>
        <w:t xml:space="preserve"> </w:t>
      </w:r>
    </w:p>
    <w:bookmarkEnd w:id="157"/>
    <w:bookmarkEnd w:id="154"/>
    <w:bookmarkStart w:name="f-203915" w:id="158"/>
    <w:bookmarkStart w:name="f-203915-title" w:id="159"/>
    <w:p>
      <w:pPr>
        <w:pStyle w:val="Heading4"/>
      </w:pPr>
      <w:bookmarkStart w:name="h-203915-title" w:id="160"/>
      <w:r>
        <w:rPr/>
        <w:t xml:space="preserve">Manual operation</w:t>
      </w:r>
      <w:bookmarkEnd w:id="160"/>
    </w:p>
    <w:bookmarkEnd w:id="159"/>
    <w:bookmarkStart w:name="f-203915-1" w:id="161"/>
    <w:p>
      <w:pPr>
        <w:pStyle w:val="Normal"/>
      </w:pPr>
      <w:r>
        <w:rPr/>
        <w:t xml:space="preserve">Requirement: Provide a remote mechanical or electrical manual release system and Local Control Station (LCS), incorporating a two-step mechanism or other safety device to restrict accidental operation.</w:t>
      </w:r>
    </w:p>
    <w:p>
      <w:pPr>
        <w:pStyle w:val="Instructions"/>
      </w:pPr>
      <w:r>
        <w:rPr/>
        <w:t xml:space="preserve">Select the desired mechanical actuation method from those listed below and provide the information required. Alternatively state ‘To manufacturer’s recommendations’ and nominate the manufacturer.</w:t>
      </w:r>
    </w:p>
    <w:p>
      <w:pPr>
        <w:pStyle w:val="Normal"/>
      </w:pPr>
      <w:r>
        <w:rPr/>
        <w:t xml:space="preserve">Hand operated actuators: As documented.</w:t>
      </w:r>
    </w:p>
    <w:p>
      <w:pPr>
        <w:pStyle w:val="Promptindent"/>
      </w:pPr>
      <w:r>
        <w:rPr/>
        <w:t xml:space="preserve">Force required for operation: </w:t>
      </w:r>
      <w:r>
        <w:fldChar w:fldCharType="begin"/>
        <w:instrText xml:space="preserve"> MACROBUTTON  ac_OnHelp [complete/delete]</w:instrText>
        <w:fldChar w:fldCharType="separate"/>
        <w:t xml:space="preserve"> </w:t>
        <w:fldChar w:fldCharType="end"/>
      </w:r>
    </w:p>
    <w:p>
      <w:pPr>
        <w:pStyle w:val="Normal"/>
      </w:pPr>
      <w:r>
        <w:rPr/>
        <w:t xml:space="preserve">Gravity powered actuators: As documented.</w:t>
      </w:r>
    </w:p>
    <w:p>
      <w:pPr>
        <w:pStyle w:val="Promptindent"/>
      </w:pPr>
      <w:r>
        <w:rPr/>
        <w:t xml:space="preserve">Mass required for operation: </w:t>
      </w:r>
      <w:r>
        <w:fldChar w:fldCharType="begin"/>
        <w:instrText xml:space="preserve"> MACROBUTTON  ac_OnHelp [complete/delete]</w:instrText>
        <w:fldChar w:fldCharType="separate"/>
        <w:t xml:space="preserve"> </w:t>
        <w:fldChar w:fldCharType="end"/>
      </w:r>
    </w:p>
    <w:p>
      <w:pPr>
        <w:pStyle w:val="Promptindent"/>
      </w:pPr>
      <w:r>
        <w:rPr/>
        <w:t xml:space="preserve">Drop distance required for operation: </w:t>
      </w:r>
      <w:r>
        <w:fldChar w:fldCharType="begin"/>
        <w:instrText xml:space="preserve"> MACROBUTTON  ac_OnHelp [complete/delete]</w:instrText>
        <w:fldChar w:fldCharType="separate"/>
        <w:t xml:space="preserve"> </w:t>
        <w:fldChar w:fldCharType="end"/>
      </w:r>
    </w:p>
    <w:bookmarkEnd w:id="161"/>
    <w:bookmarkEnd w:id="158"/>
    <w:bookmarkStart w:name="f-203996" w:id="162"/>
    <w:bookmarkStart w:name="f-203996-title" w:id="163"/>
    <w:p>
      <w:pPr>
        <w:pStyle w:val="Heading3"/>
      </w:pPr>
      <w:bookmarkStart w:name="h-203996-title" w:id="164"/>
      <w:r>
        <w:rPr/>
        <w:t xml:space="preserve">Safety systems</w:t>
      </w:r>
      <w:bookmarkEnd w:id="164"/>
    </w:p>
    <w:bookmarkEnd w:id="163"/>
    <w:bookmarkStart w:name="f-203996-1" w:id="165"/>
    <w:bookmarkEnd w:id="165"/>
    <w:bookmarkEnd w:id="162"/>
    <w:bookmarkStart w:name="f-203936" w:id="166"/>
    <w:bookmarkStart w:name="f-203936-title" w:id="167"/>
    <w:p>
      <w:pPr>
        <w:pStyle w:val="Heading4"/>
      </w:pPr>
      <w:bookmarkStart w:name="h-203936-title" w:id="168"/>
      <w:r>
        <w:rPr/>
        <w:t xml:space="preserve">Enclosure venting</w:t>
      </w:r>
      <w:bookmarkEnd w:id="168"/>
    </w:p>
    <w:bookmarkEnd w:id="167"/>
    <w:bookmarkStart w:name="f-203936-1" w:id="169"/>
    <w:p>
      <w:pPr>
        <w:pStyle w:val="Normal"/>
      </w:pPr>
      <w:r>
        <w:rPr/>
        <w:t xml:space="preserve">Pressure: Provide pressure relief venting to the protected enclosure to prevent excessive over or under pressurisation of the enclosure.</w:t>
      </w:r>
    </w:p>
    <w:p>
      <w:pPr>
        <w:pStyle w:val="Normal"/>
      </w:pPr>
      <w:r>
        <w:rPr/>
        <w:t xml:space="preserve">Protection: Provide external vents with weather louvres, anti-vermin mesh and anti-intrusion bars.</w:t>
      </w:r>
    </w:p>
    <w:p>
      <w:pPr>
        <w:pStyle w:val="Instructions"/>
      </w:pPr>
      <w:r>
        <w:rPr/>
        <w:t xml:space="preserve">Amend text if required. Also include any requirements for vents and louvres to be motorised.</w:t>
      </w:r>
    </w:p>
    <w:p>
      <w:pPr>
        <w:pStyle w:val="Normal"/>
      </w:pPr>
      <w:r>
        <w:rPr/>
        <w:t xml:space="preserve">Forced-air systems: Provide for a means of shut down of any forced-air ventilating systems to the protected enclosure, where their continued operation will adversely affect the performance of the fire suppression system.</w:t>
      </w:r>
    </w:p>
    <w:bookmarkEnd w:id="169"/>
    <w:bookmarkEnd w:id="166"/>
    <w:bookmarkStart w:name="f-203956" w:id="170"/>
    <w:bookmarkStart w:name="f-203956-title" w:id="171"/>
    <w:p>
      <w:pPr>
        <w:pStyle w:val="Heading4"/>
      </w:pPr>
      <w:bookmarkStart w:name="h-203956-title" w:id="172"/>
      <w:r>
        <w:rPr/>
        <w:t xml:space="preserve">Minimum safety precautions</w:t>
      </w:r>
      <w:bookmarkEnd w:id="172"/>
    </w:p>
    <w:bookmarkEnd w:id="171"/>
    <w:bookmarkStart w:name="f-203956-1" w:id="173"/>
    <w:p>
      <w:pPr>
        <w:pStyle w:val="Normal"/>
      </w:pPr>
      <w:r>
        <w:rPr/>
        <w:t xml:space="preserve">Requirement: Provide time delay devices, automatic / manual switches and lock-off devices, as follows:</w:t>
      </w:r>
    </w:p>
    <w:p>
      <w:pPr>
        <w:pStyle w:val="NormalIndent"/>
      </w:pPr>
      <w:r>
        <w:rPr/>
        <w:t xml:space="preserve">Carbon dioxide systems: To AS 6183 clause 5.2.1.</w:t>
      </w:r>
    </w:p>
    <w:p>
      <w:pPr>
        <w:pStyle w:val="NormalIndent"/>
      </w:pPr>
      <w:r>
        <w:rPr/>
        <w:t xml:space="preserve">Occupiable areas: To AS 4214 clauses 5.2.2 and 5.3.</w:t>
      </w:r>
    </w:p>
    <w:p>
      <w:pPr>
        <w:pStyle w:val="Promptindent"/>
      </w:pPr>
      <w:r>
        <w:rPr/>
        <w:t xml:space="preserve">Time delay period: </w:t>
      </w:r>
      <w:r>
        <w:fldChar w:fldCharType="begin"/>
        <w:instrText xml:space="preserve"> MACROBUTTON  ac_OnHelp [complete/delete]</w:instrText>
        <w:fldChar w:fldCharType="separate"/>
        <w:t xml:space="preserve"> </w:t>
        <w:fldChar w:fldCharType="end"/>
      </w:r>
    </w:p>
    <w:p>
      <w:pPr>
        <w:pStyle w:val="Instructions"/>
      </w:pPr>
      <w:r>
        <w:rPr/>
        <w:t xml:space="preserve">The time delay should be sufficient to allow personnel evacuation or preparation if the hazard area before discharge.</w:t>
      </w:r>
    </w:p>
    <w:bookmarkEnd w:id="173"/>
    <w:bookmarkEnd w:id="170"/>
    <w:bookmarkStart w:name="f-203932" w:id="174"/>
    <w:bookmarkStart w:name="f-203932-title" w:id="175"/>
    <w:p>
      <w:pPr>
        <w:pStyle w:val="Heading4"/>
      </w:pPr>
      <w:bookmarkStart w:name="h-203932-title" w:id="176"/>
      <w:r>
        <w:rPr/>
        <w:t xml:space="preserve">Signage</w:t>
      </w:r>
      <w:bookmarkEnd w:id="176"/>
    </w:p>
    <w:bookmarkEnd w:id="175"/>
    <w:bookmarkStart w:name="f-203932-1" w:id="177"/>
    <w:p>
      <w:pPr>
        <w:pStyle w:val="Normal"/>
      </w:pPr>
      <w:r>
        <w:rPr/>
        <w:t xml:space="preserve">Requirement: Provide warning notice signage to AS 4214 clause 5.7 and AS 6183 clauses 5.2.2 and 5.2.3.</w:t>
      </w:r>
    </w:p>
    <w:bookmarkEnd w:id="177"/>
    <w:bookmarkEnd w:id="174"/>
    <w:bookmarkStart w:name="f-203959" w:id="178"/>
    <w:bookmarkStart w:name="f-203959-title" w:id="179"/>
    <w:p>
      <w:pPr>
        <w:pStyle w:val="Heading4"/>
      </w:pPr>
      <w:bookmarkStart w:name="h-203959-title" w:id="180"/>
      <w:r>
        <w:rPr/>
        <w:t xml:space="preserve">Emergency warning systems</w:t>
      </w:r>
      <w:bookmarkEnd w:id="180"/>
    </w:p>
    <w:bookmarkEnd w:id="179"/>
    <w:bookmarkStart w:name="f-203959-1" w:id="181"/>
    <w:p>
      <w:pPr>
        <w:pStyle w:val="Normal"/>
      </w:pPr>
      <w:r>
        <w:rPr/>
        <w:t xml:space="preserve">Requirement: Provide audible alarms and visual warning devices to AS 1670.5 and AS 4214 clause 6.4.5.</w:t>
      </w:r>
    </w:p>
    <w:bookmarkEnd w:id="181"/>
    <w:bookmarkEnd w:id="178"/>
    <w:bookmarkStart w:name="f-180250" w:id="182"/>
    <w:bookmarkStart w:name="f-180250-1" w:id="183"/>
    <w:p>
      <w:pPr>
        <w:pStyle w:val="Heading3"/>
      </w:pPr>
      <w:bookmarkStart w:name="h-180250-1" w:id="184"/>
      <w:r>
        <w:rPr/>
        <w:t xml:space="preserve">Block plan</w:t>
      </w:r>
      <w:bookmarkEnd w:id="184"/>
    </w:p>
    <w:bookmarkEnd w:id="183"/>
    <w:bookmarkEnd w:id="182"/>
    <w:bookmarkStart w:name="f-203930" w:id="185"/>
    <w:bookmarkStart w:name="f-203930-title" w:id="186"/>
    <w:p>
      <w:pPr>
        <w:pStyle w:val="Heading4"/>
      </w:pPr>
      <w:bookmarkStart w:name="h-203930-title" w:id="187"/>
      <w:r>
        <w:rPr/>
        <w:t xml:space="preserve">General</w:t>
      </w:r>
      <w:bookmarkStart w:id="188" w:name="a-f-180245-1"/>
      <w:bookmarkEnd w:id="188"/>
      <w:bookmarkStart w:id="189" w:name="a-f-180245"/>
      <w:bookmarkEnd w:id="189"/>
      <w:bookmarkEnd w:id="187"/>
    </w:p>
    <w:bookmarkEnd w:id="186"/>
    <w:bookmarkStart w:name="f-203930-1" w:id="190"/>
    <w:p>
      <w:pPr>
        <w:pStyle w:val="Normal"/>
      </w:pPr>
      <w:r>
        <w:rPr/>
        <w:t xml:space="preserve">Requirement: Provide a block plan to AS 4214 clause 8.4.</w:t>
      </w:r>
    </w:p>
    <w:p>
      <w:pPr>
        <w:pStyle w:val="Normal"/>
      </w:pPr>
      <w:r>
        <w:rPr/>
        <w:t xml:space="preserve">Size: Minimum A4.</w:t>
      </w:r>
    </w:p>
    <w:bookmarkEnd w:id="190"/>
    <w:bookmarkEnd w:id="185"/>
    <w:bookmarkStart w:name="f-92521" w:id="191"/>
    <w:bookmarkStart w:name="f-92521-content" w:id="192"/>
    <w:p>
      <w:pPr>
        <w:pStyle w:val="Heading2"/>
      </w:pPr>
      <w:bookmarkStart w:name="h-92521-content" w:id="193"/>
      <w:r>
        <w:rPr/>
        <w:t xml:space="preserve">Execution</w:t>
      </w:r>
      <w:bookmarkEnd w:id="193"/>
    </w:p>
    <w:bookmarkEnd w:id="192"/>
    <w:bookmarkEnd w:id="191"/>
    <w:bookmarkStart w:name="f-203994" w:id="194"/>
    <w:bookmarkStart w:name="f-203994-title" w:id="195"/>
    <w:p>
      <w:pPr>
        <w:pStyle w:val="Heading3"/>
      </w:pPr>
      <w:bookmarkStart w:name="h-203994-title" w:id="196"/>
      <w:r>
        <w:rPr/>
        <w:t xml:space="preserve">Storage containers</w:t>
      </w:r>
      <w:bookmarkStart w:id="197" w:name="a-f-85895-content"/>
      <w:bookmarkEnd w:id="197"/>
      <w:bookmarkEnd w:id="196"/>
    </w:p>
    <w:bookmarkEnd w:id="195"/>
    <w:bookmarkStart w:name="f-203994-1" w:id="198"/>
    <w:bookmarkEnd w:id="198"/>
    <w:bookmarkEnd w:id="194"/>
    <w:bookmarkStart w:name="f-203931" w:id="199"/>
    <w:bookmarkStart w:name="f-203931-title" w:id="200"/>
    <w:p>
      <w:pPr>
        <w:pStyle w:val="Heading4"/>
      </w:pPr>
      <w:bookmarkStart w:name="h-203931-title" w:id="201"/>
      <w:r>
        <w:rPr/>
        <w:t xml:space="preserve">General</w:t>
      </w:r>
      <w:bookmarkEnd w:id="201"/>
    </w:p>
    <w:bookmarkEnd w:id="200"/>
    <w:bookmarkStart w:name="f-203931-1" w:id="202"/>
    <w:p>
      <w:pPr>
        <w:pStyle w:val="Normal"/>
      </w:pPr>
      <w:r>
        <w:rPr/>
        <w:t xml:space="preserve">Protection: Remove all outlet and actuation caps, plugs and locking devices from storage containers at installation and retain to allow future safe handling and transport of the storage containers.</w:t>
      </w:r>
    </w:p>
    <w:p>
      <w:pPr>
        <w:pStyle w:val="Normal"/>
      </w:pPr>
      <w:r>
        <w:rPr/>
        <w:t xml:space="preserve">Support: Provide suitable support and mounting to storage containers. Also consider the requirements of AS 1170.4 for the seismic restraint of non-structural components.</w:t>
      </w:r>
    </w:p>
    <w:p>
      <w:pPr>
        <w:pStyle w:val="Instructions"/>
      </w:pPr>
      <w:r>
        <w:rPr/>
        <w:t xml:space="preserve">Design to resist horizontal movement. AS 1170.4 clause 8.3 gives a simplified method of calculating forces on components.</w:t>
      </w:r>
    </w:p>
    <w:p>
      <w:pPr>
        <w:pStyle w:val="Normal"/>
      </w:pPr>
      <w:r>
        <w:rPr/>
        <w:t xml:space="preserve">Manifold: If two or more storage containers are connected to a system via a manifold, provide an automatic means of gas loss prevention through the manifold if one storage container is removed.</w:t>
      </w:r>
    </w:p>
    <w:p>
      <w:pPr>
        <w:pStyle w:val="Instructions"/>
      </w:pPr>
      <w:r>
        <w:rPr/>
        <w:t xml:space="preserve">e.g. check valves.</w:t>
      </w:r>
    </w:p>
    <w:bookmarkEnd w:id="202"/>
    <w:bookmarkEnd w:id="199"/>
    <w:bookmarkStart w:name="f-2_68625" w:id="203"/>
    <w:bookmarkStart w:name="f-2_68625-content" w:id="204"/>
    <w:p>
      <w:pPr>
        <w:pStyle w:val="Heading3"/>
      </w:pPr>
      <w:bookmarkStart w:name="h-2_68625-content" w:id="205"/>
      <w:r>
        <w:rPr/>
        <w:t xml:space="preserve">Distribution system</w:t>
      </w:r>
      <w:bookmarkEnd w:id="205"/>
    </w:p>
    <w:bookmarkEnd w:id="204"/>
    <w:bookmarkEnd w:id="203"/>
    <w:bookmarkStart w:name="f-203986" w:id="206"/>
    <w:bookmarkStart w:name="f-203986-title" w:id="207"/>
    <w:p>
      <w:pPr>
        <w:pStyle w:val="Heading4"/>
      </w:pPr>
      <w:bookmarkStart w:name="h-203986-title" w:id="208"/>
      <w:r>
        <w:rPr/>
        <w:t xml:space="preserve">Piping</w:t>
      </w:r>
      <w:bookmarkStart w:id="209" w:name="a-f-180247-1"/>
      <w:bookmarkEnd w:id="209"/>
      <w:bookmarkStart w:id="210" w:name="a-f-180247"/>
      <w:bookmarkEnd w:id="210"/>
      <w:bookmarkEnd w:id="208"/>
    </w:p>
    <w:bookmarkEnd w:id="207"/>
    <w:bookmarkStart w:name="f-203986-1" w:id="211"/>
    <w:p>
      <w:pPr>
        <w:pStyle w:val="Normal"/>
      </w:pPr>
      <w:r>
        <w:rPr/>
        <w:t xml:space="preserve">Layout: Install piping in straight lines at uniform grades with no sags. Provide sufficient unions and flanges to allow removal of piping and fittings for maintenance or replacement of plant.</w:t>
      </w:r>
    </w:p>
    <w:p>
      <w:pPr>
        <w:pStyle w:val="Normal"/>
      </w:pPr>
      <w:r>
        <w:rPr/>
        <w:t xml:space="preserve">Routing: Follow the line of walls and ceilings, including all necessary offsets, and arrange to avoid interference with the building or other services. </w:t>
      </w:r>
    </w:p>
    <w:p>
      <w:pPr>
        <w:pStyle w:val="Normal"/>
      </w:pPr>
      <w:r>
        <w:rPr/>
        <w:t xml:space="preserve">Arrangement: Arrange and support piping so that it remains free from vibrations whilst permitting necessary movements. Minimise the number of joints.</w:t>
      </w:r>
    </w:p>
    <w:p>
      <w:pPr>
        <w:pStyle w:val="Normal"/>
      </w:pPr>
      <w:r>
        <w:rPr/>
        <w:t xml:space="preserve">Spacing: Provide a minimum clear distance of 50 mm between pipes, flanges, unions and couplings. Also provide a minimum of 50 mm between such items and adjacent structure.</w:t>
      </w:r>
    </w:p>
    <w:p>
      <w:pPr>
        <w:pStyle w:val="Normal"/>
      </w:pPr>
      <w:r>
        <w:rPr/>
        <w:t xml:space="preserve">Draining: Arrange piping so the whole system can be drained, if required. Provide drain traps at the lowest points.</w:t>
      </w:r>
    </w:p>
    <w:bookmarkEnd w:id="211"/>
    <w:bookmarkEnd w:id="206"/>
    <w:bookmarkStart w:name="f-203943" w:id="212"/>
    <w:bookmarkStart w:name="f-203943-title" w:id="213"/>
    <w:p>
      <w:pPr>
        <w:pStyle w:val="Heading4"/>
      </w:pPr>
      <w:bookmarkStart w:name="h-203943-title" w:id="214"/>
      <w:r>
        <w:rPr/>
        <w:t xml:space="preserve">External preparation</w:t>
      </w:r>
      <w:bookmarkStart w:id="215" w:name="a-f-74801-content1"/>
      <w:bookmarkEnd w:id="215"/>
      <w:bookmarkStart w:id="216" w:name="a-f-74801"/>
      <w:bookmarkEnd w:id="216"/>
      <w:bookmarkEnd w:id="214"/>
    </w:p>
    <w:bookmarkEnd w:id="213"/>
    <w:bookmarkStart w:name="f-203943-1" w:id="217"/>
    <w:p>
      <w:pPr>
        <w:pStyle w:val="Normal"/>
      </w:pPr>
      <w:r>
        <w:rPr/>
        <w:t xml:space="preserve">General: Remove scale, rust, burrs and grease and make sure that surfaces are clean and dry.</w:t>
      </w:r>
    </w:p>
    <w:p>
      <w:pPr>
        <w:pStyle w:val="Normal"/>
      </w:pPr>
      <w:r>
        <w:rPr/>
        <w:t xml:space="preserve">Protection: During construction, prevent the entry of foreign matter into the piping system by temporarily sealing the open ends of pipes and valves with purpose-made covers of pressed steel or rigid plastic.</w:t>
      </w:r>
    </w:p>
    <w:bookmarkEnd w:id="217"/>
    <w:bookmarkEnd w:id="212"/>
    <w:bookmarkStart w:name="f-203993" w:id="218"/>
    <w:bookmarkStart w:name="f-203993-title" w:id="219"/>
    <w:p>
      <w:pPr>
        <w:pStyle w:val="Heading4"/>
      </w:pPr>
      <w:bookmarkStart w:name="h-203993-title" w:id="220"/>
      <w:r>
        <w:rPr/>
        <w:t xml:space="preserve">Nozzles</w:t>
      </w:r>
      <w:bookmarkEnd w:id="220"/>
    </w:p>
    <w:bookmarkEnd w:id="219"/>
    <w:bookmarkStart w:name="f-203993-1" w:id="221"/>
    <w:p>
      <w:pPr>
        <w:pStyle w:val="Normal"/>
      </w:pPr>
      <w:r>
        <w:rPr/>
        <w:t xml:space="preserve">Position: Locate nozzles as documented and position so that extinguishing agent will not directly impinge on areas where personnel may be found in the normal work area or where loose objects may be dislodged.</w:t>
      </w:r>
    </w:p>
    <w:p>
      <w:pPr>
        <w:pStyle w:val="Normal"/>
      </w:pPr>
      <w:r>
        <w:rPr/>
        <w:t xml:space="preserve">Deflectors: Where documented, position to obtain maximum benefit.</w:t>
      </w:r>
    </w:p>
    <w:p>
      <w:pPr>
        <w:pStyle w:val="Normal"/>
      </w:pPr>
      <w:r>
        <w:rPr/>
        <w:t xml:space="preserve">Installation: To manufacturer’s recommendations.</w:t>
      </w:r>
    </w:p>
    <w:bookmarkEnd w:id="221"/>
    <w:bookmarkEnd w:id="218"/>
    <w:bookmarkStart w:name="f-203938" w:id="222"/>
    <w:bookmarkStart w:name="f-203938-title" w:id="223"/>
    <w:p>
      <w:pPr>
        <w:pStyle w:val="Heading4"/>
      </w:pPr>
      <w:bookmarkStart w:name="h-203938-title" w:id="224"/>
      <w:r>
        <w:rPr/>
        <w:t xml:space="preserve">Supports</w:t>
      </w:r>
      <w:bookmarkEnd w:id="224"/>
    </w:p>
    <w:bookmarkEnd w:id="223"/>
    <w:bookmarkStart w:name="f-203938-1" w:id="225"/>
    <w:p>
      <w:pPr>
        <w:pStyle w:val="Normal"/>
      </w:pPr>
      <w:r>
        <w:rPr/>
        <w:t xml:space="preserve">Piping support: Maximum distance between piping supports: To AS 4214 Table 4.</w:t>
      </w:r>
    </w:p>
    <w:p>
      <w:pPr>
        <w:pStyle w:val="Normal"/>
      </w:pPr>
      <w:r>
        <w:rPr/>
        <w:t xml:space="preserve">Nozzle support: Suitable to withstand forces with maximum distance to last piping support as follows:</w:t>
      </w:r>
    </w:p>
    <w:p>
      <w:pPr>
        <w:pStyle w:val="NormalIndent"/>
      </w:pPr>
      <w:r>
        <w:rPr/>
        <w:t xml:space="preserve">Piping diameter 25 mm or less: 100 mm.</w:t>
      </w:r>
    </w:p>
    <w:p>
      <w:pPr>
        <w:pStyle w:val="NormalIndent"/>
      </w:pPr>
      <w:r>
        <w:rPr/>
        <w:t xml:space="preserve">Piping diameter over 25 mm: 250 mm.</w:t>
      </w:r>
    </w:p>
    <w:bookmarkEnd w:id="225"/>
    <w:bookmarkEnd w:id="222"/>
    <w:bookmarkStart w:name="f-203922" w:id="226"/>
    <w:bookmarkStart w:name="f-203922-title" w:id="227"/>
    <w:p>
      <w:pPr>
        <w:pStyle w:val="Heading4"/>
      </w:pPr>
      <w:bookmarkStart w:name="h-203922-title" w:id="228"/>
      <w:r>
        <w:rPr/>
        <w:t xml:space="preserve">Sleeves</w:t>
      </w:r>
      <w:bookmarkEnd w:id="228"/>
    </w:p>
    <w:bookmarkEnd w:id="227"/>
    <w:bookmarkStart w:name="f-203922-1" w:id="229"/>
    <w:p>
      <w:pPr>
        <w:pStyle w:val="Normal"/>
      </w:pPr>
      <w:r>
        <w:rPr/>
        <w:t xml:space="preserve">Location: Provide sleeves that permit normal pipe movement through walls, floors, and other building elements.</w:t>
      </w:r>
    </w:p>
    <w:p>
      <w:pPr>
        <w:pStyle w:val="Normal"/>
      </w:pPr>
      <w:r>
        <w:rPr/>
        <w:t xml:space="preserve">Construction: Fabricate from galvanized pipe large enough to permit free movement of the pipe and projecting 15 mm from the building surface. Remove burrs, rust, etc and coat with graphite paste before assembly.</w:t>
      </w:r>
    </w:p>
    <w:p>
      <w:pPr>
        <w:pStyle w:val="Instructions"/>
      </w:pPr>
      <w:r>
        <w:rPr/>
        <w:t xml:space="preserve">See also </w:t>
      </w:r>
      <w:r>
        <w:rPr>
          <w:rStyle w:val="DefaultParagraphFont"/>
          <w:b/>
        </w:rPr>
        <w:t xml:space="preserve">BUILDING PENETRATIONS</w:t>
      </w:r>
      <w:r>
        <w:rPr/>
        <w:t xml:space="preserve"> in </w:t>
      </w:r>
      <w:r>
        <w:rPr>
          <w:i/>
        </w:rPr>
        <w:t xml:space="preserve">0171 General requirements</w:t>
      </w:r>
      <w:r>
        <w:rPr/>
        <w:t xml:space="preserve">.</w:t>
      </w:r>
    </w:p>
    <w:bookmarkEnd w:id="229"/>
    <w:bookmarkEnd w:id="226"/>
    <w:bookmarkStart w:name="f-203995" w:id="230"/>
    <w:bookmarkStart w:name="f-203995-title" w:id="231"/>
    <w:p>
      <w:pPr>
        <w:pStyle w:val="Heading3"/>
      </w:pPr>
      <w:bookmarkStart w:name="h-203995-title" w:id="232"/>
      <w:r>
        <w:rPr/>
        <w:t xml:space="preserve">Detection, actuation and control systems</w:t>
      </w:r>
      <w:bookmarkEnd w:id="232"/>
    </w:p>
    <w:bookmarkEnd w:id="231"/>
    <w:bookmarkStart w:name="f-203995-1" w:id="233"/>
    <w:bookmarkEnd w:id="233"/>
    <w:bookmarkEnd w:id="230"/>
    <w:bookmarkStart w:name="f-203942" w:id="234"/>
    <w:bookmarkStart w:name="f-203942-title" w:id="235"/>
    <w:p>
      <w:pPr>
        <w:pStyle w:val="Heading4"/>
      </w:pPr>
      <w:bookmarkStart w:name="h-203942-title" w:id="236"/>
      <w:r>
        <w:rPr/>
        <w:t xml:space="preserve">Installation</w:t>
      </w:r>
      <w:bookmarkEnd w:id="236"/>
    </w:p>
    <w:bookmarkEnd w:id="235"/>
    <w:bookmarkStart w:name="f-203942-1" w:id="237"/>
    <w:p>
      <w:pPr>
        <w:pStyle w:val="Normal"/>
      </w:pPr>
      <w:r>
        <w:rPr/>
        <w:t xml:space="preserve">Requirement: Install detection and alarm systems to </w:t>
      </w:r>
      <w:r>
        <w:rPr>
          <w:i/>
        </w:rPr>
        <w:t xml:space="preserve">1072 Fire detection and alarms</w:t>
      </w:r>
      <w:r>
        <w:rPr/>
        <w:t xml:space="preserve"> and the manufacturer’s recommendations.</w:t>
      </w:r>
    </w:p>
    <w:p>
      <w:pPr>
        <w:pStyle w:val="Normal"/>
      </w:pPr>
      <w:r>
        <w:rPr/>
        <w:t xml:space="preserve">Actuation and control systems: Install to manufacturer’s recommendations.</w:t>
      </w:r>
    </w:p>
    <w:bookmarkEnd w:id="237"/>
    <w:bookmarkEnd w:id="234"/>
    <w:bookmarkStart w:name="f-203964" w:id="238"/>
    <w:bookmarkStart w:name="f-203964-title" w:id="239"/>
    <w:p>
      <w:pPr>
        <w:pStyle w:val="Heading3"/>
      </w:pPr>
      <w:bookmarkStart w:name="h-203964-title" w:id="240"/>
      <w:r>
        <w:rPr/>
        <w:t xml:space="preserve">Emergency warning systems</w:t>
      </w:r>
      <w:bookmarkEnd w:id="240"/>
    </w:p>
    <w:bookmarkEnd w:id="239"/>
    <w:bookmarkStart w:name="f-203964-1" w:id="241"/>
    <w:bookmarkEnd w:id="241"/>
    <w:bookmarkEnd w:id="238"/>
    <w:bookmarkStart w:name="f-203958" w:id="242"/>
    <w:bookmarkStart w:name="f-203958-title" w:id="243"/>
    <w:p>
      <w:pPr>
        <w:pStyle w:val="Heading4"/>
      </w:pPr>
      <w:bookmarkStart w:name="h-203958-title" w:id="244"/>
      <w:r>
        <w:rPr/>
        <w:t xml:space="preserve">Installation</w:t>
      </w:r>
      <w:bookmarkEnd w:id="244"/>
    </w:p>
    <w:bookmarkEnd w:id="243"/>
    <w:bookmarkStart w:name="f-203958-1" w:id="245"/>
    <w:p>
      <w:pPr>
        <w:pStyle w:val="Normal"/>
      </w:pPr>
      <w:r>
        <w:rPr/>
        <w:t xml:space="preserve">Requirement: Install emergency warning systems to </w:t>
      </w:r>
      <w:r>
        <w:rPr>
          <w:i/>
        </w:rPr>
        <w:t xml:space="preserve">1073 Emergency warning and intercommunication</w:t>
      </w:r>
      <w:r>
        <w:rPr/>
        <w:t xml:space="preserve"> and the manufacturer’s recommendations.</w:t>
      </w:r>
    </w:p>
    <w:bookmarkEnd w:id="245"/>
    <w:bookmarkEnd w:id="242"/>
    <w:bookmarkStart w:name="f-88304" w:id="246"/>
    <w:bookmarkStart w:name="f-88304-content" w:id="247"/>
    <w:p>
      <w:pPr>
        <w:pStyle w:val="Heading3"/>
      </w:pPr>
      <w:bookmarkStart w:name="h-88304-content" w:id="248"/>
      <w:r>
        <w:rPr/>
        <w:t xml:space="preserve">Electrical works</w:t>
      </w:r>
      <w:bookmarkEnd w:id="248"/>
    </w:p>
    <w:bookmarkEnd w:id="247"/>
    <w:bookmarkEnd w:id="246"/>
    <w:bookmarkStart w:name="f-203927" w:id="249"/>
    <w:bookmarkStart w:name="f-203927-title" w:id="250"/>
    <w:p>
      <w:pPr>
        <w:pStyle w:val="Heading4"/>
      </w:pPr>
      <w:bookmarkStart w:name="h-203927-title" w:id="251"/>
      <w:r>
        <w:rPr/>
        <w:t xml:space="preserve">General</w:t>
      </w:r>
      <w:bookmarkEnd w:id="251"/>
    </w:p>
    <w:bookmarkEnd w:id="250"/>
    <w:bookmarkStart w:name="f-203927-1" w:id="252"/>
    <w:p>
      <w:pPr>
        <w:pStyle w:val="Normal"/>
      </w:pPr>
      <w:r>
        <w:rPr/>
        <w:t xml:space="preserve">Requirement: To </w:t>
      </w:r>
      <w:r>
        <w:rPr>
          <w:i/>
        </w:rPr>
        <w:t xml:space="preserve">1082 Fire services electrical - minor</w:t>
      </w:r>
      <w:r>
        <w:rPr/>
        <w:t xml:space="preserve">.</w:t>
      </w:r>
    </w:p>
    <w:p>
      <w:pPr>
        <w:pStyle w:val="Instructions"/>
      </w:pPr>
      <w:r>
        <w:rPr/>
        <w:t xml:space="preserve">Alternatively specify the electrical requirements as part of the full project electrical works in the relevant worksections of the </w:t>
      </w:r>
      <w:r>
        <w:rPr>
          <w:b/>
        </w:rPr>
        <w:t xml:space="preserve">09 ELECTRICAL</w:t>
      </w:r>
      <w:r>
        <w:rPr/>
        <w:t xml:space="preserve"> workgroup.</w:t>
      </w:r>
    </w:p>
    <w:bookmarkEnd w:id="252"/>
    <w:bookmarkEnd w:id="249"/>
    <w:bookmarkStart w:name="f-365712" w:id="253"/>
    <w:bookmarkStart w:name="f-365712-1" w:id="254"/>
    <w:p>
      <w:pPr>
        <w:pStyle w:val="Heading3"/>
      </w:pPr>
      <w:bookmarkStart w:name="h-365712-1" w:id="255"/>
      <w:r>
        <w:rPr/>
        <w:t xml:space="preserve">Pre-commissioning</w:t>
      </w:r>
      <w:bookmarkEnd w:id="255"/>
    </w:p>
    <w:bookmarkEnd w:id="254"/>
    <w:bookmarkEnd w:id="253"/>
    <w:bookmarkStart w:name="f-204449" w:id="256"/>
    <w:bookmarkStart w:name="f-204449-1" w:id="257"/>
    <w:p>
      <w:pPr>
        <w:pStyle w:val="Heading4"/>
      </w:pPr>
      <w:bookmarkStart w:name="h-204449-1" w:id="258"/>
      <w:r>
        <w:rPr/>
        <w:t xml:space="preserve">General</w:t>
      </w:r>
      <w:bookmarkEnd w:id="258"/>
    </w:p>
    <w:p>
      <w:pPr>
        <w:pStyle w:val="Normal"/>
      </w:pPr>
      <w:r>
        <w:rPr/>
        <w:t xml:space="preserve">System flush: After installation flush the system through with dry air or other compressed gas to remove any foreign matter.</w:t>
      </w:r>
    </w:p>
    <w:bookmarkEnd w:id="257"/>
    <w:bookmarkEnd w:id="256"/>
    <w:bookmarkStart w:name="f-69396" w:id="259"/>
    <w:bookmarkStart w:name="f-69396-content1" w:id="260"/>
    <w:p>
      <w:pPr>
        <w:pStyle w:val="Heading3"/>
      </w:pPr>
      <w:bookmarkStart w:name="h-69396-content1" w:id="261"/>
      <w:r>
        <w:rPr/>
        <w:t xml:space="preserve">Commissioning</w:t>
      </w:r>
      <w:bookmarkEnd w:id="261"/>
    </w:p>
    <w:p>
      <w:pPr>
        <w:pStyle w:val="Instructions"/>
      </w:pPr>
      <w:r>
        <w:rPr/>
        <w:t xml:space="preserve">For information on the commissioning process refer to NATSPEC TECHnote GEN 020.</w:t>
      </w:r>
    </w:p>
    <w:bookmarkEnd w:id="260"/>
    <w:bookmarkEnd w:id="259"/>
    <w:bookmarkStart w:name="f-203937" w:id="262"/>
    <w:bookmarkStart w:name="f-203937-title" w:id="263"/>
    <w:p>
      <w:pPr>
        <w:pStyle w:val="Heading4"/>
      </w:pPr>
      <w:bookmarkStart w:name="h-203937-title" w:id="264"/>
      <w:r>
        <w:rPr/>
        <w:t xml:space="preserve">Commissioning</w:t>
      </w:r>
      <w:bookmarkEnd w:id="264"/>
    </w:p>
    <w:bookmarkEnd w:id="263"/>
    <w:bookmarkStart w:name="f-203937-1" w:id="265"/>
    <w:p>
      <w:pPr>
        <w:pStyle w:val="Normal"/>
      </w:pPr>
      <w:r>
        <w:rPr/>
        <w:t xml:space="preserve">Carbon dioxide systems: To AS 6183 Section 8.</w:t>
      </w:r>
    </w:p>
    <w:p>
      <w:pPr>
        <w:pStyle w:val="Normal"/>
      </w:pPr>
      <w:r>
        <w:rPr/>
        <w:t xml:space="preserve">Other systems: To AS 4214 Section 8.</w:t>
      </w:r>
    </w:p>
    <w:p>
      <w:pPr>
        <w:pStyle w:val="Normal"/>
      </w:pPr>
      <w:r>
        <w:rPr/>
        <w:t xml:space="preserve">Manufacturer's recommendations: Commission to manufacturer's recommendations.</w:t>
      </w:r>
    </w:p>
    <w:bookmarkEnd w:id="265"/>
    <w:bookmarkEnd w:id="262"/>
    <w:bookmarkStart w:name="f-203913" w:id="266"/>
    <w:bookmarkStart w:name="f-203913-title" w:id="267"/>
    <w:p>
      <w:pPr>
        <w:pStyle w:val="Heading4"/>
      </w:pPr>
      <w:bookmarkStart w:name="h-203913-title" w:id="268"/>
      <w:r>
        <w:rPr/>
        <w:t xml:space="preserve">Testing</w:t>
      </w:r>
      <w:bookmarkEnd w:id="268"/>
    </w:p>
    <w:bookmarkEnd w:id="267"/>
    <w:bookmarkStart w:name="f-203913-1" w:id="269"/>
    <w:p>
      <w:pPr>
        <w:pStyle w:val="Normal"/>
      </w:pPr>
      <w:r>
        <w:rPr/>
        <w:t xml:space="preserve">Requirement: Complete system testing to AS 1670.5 and the following:</w:t>
      </w:r>
    </w:p>
    <w:p>
      <w:pPr>
        <w:pStyle w:val="NormalIndent"/>
      </w:pPr>
      <w:r>
        <w:rPr/>
        <w:t xml:space="preserve">Carbon dioxide systems: To AS 6183 clause 8.2.</w:t>
      </w:r>
    </w:p>
    <w:p>
      <w:pPr>
        <w:pStyle w:val="NormalIndent"/>
      </w:pPr>
      <w:r>
        <w:rPr/>
        <w:t xml:space="preserve">Other extinguishing agent systems: To AS 4124 clause 8.2.</w:t>
      </w:r>
    </w:p>
    <w:p>
      <w:pPr>
        <w:pStyle w:val="Instructions"/>
      </w:pPr>
      <w:r>
        <w:rPr/>
        <w:t xml:space="preserve">Consider the inclusion of specific acceptance testing requirements such as details of Duct fan integrity tests and Room fan integrity tests. If providing further detail, include any requirements for the qualifications of testing personnel and the criteria for test acceptance. </w:t>
      </w:r>
    </w:p>
    <w:bookmarkEnd w:id="269"/>
    <w:bookmarkEnd w:id="266"/>
    <w:bookmarkStart w:name="f-203940" w:id="270"/>
    <w:bookmarkStart w:name="f-203940-title" w:id="271"/>
    <w:p>
      <w:pPr>
        <w:pStyle w:val="Heading4"/>
      </w:pPr>
      <w:bookmarkStart w:name="h-203940-title" w:id="272"/>
      <w:r>
        <w:rPr/>
        <w:t xml:space="preserve">Baseline data</w:t>
      </w:r>
      <w:bookmarkEnd w:id="272"/>
    </w:p>
    <w:bookmarkEnd w:id="271"/>
    <w:bookmarkStart w:name="f-203940-1" w:id="273"/>
    <w:p>
      <w:pPr>
        <w:pStyle w:val="Normal"/>
      </w:pPr>
      <w:r>
        <w:rPr/>
        <w:t xml:space="preserve">Requirement: Provide baseline data to AS 1851.</w:t>
      </w:r>
    </w:p>
    <w:bookmarkEnd w:id="273"/>
    <w:bookmarkEnd w:id="270"/>
    <w:bookmarkStart w:name="f-203972" w:id="274"/>
    <w:bookmarkStart w:name="f-203972-title" w:id="275"/>
    <w:p>
      <w:pPr>
        <w:pStyle w:val="Heading4"/>
      </w:pPr>
      <w:bookmarkStart w:name="h-203972-title" w:id="276"/>
      <w:r>
        <w:rPr/>
        <w:t xml:space="preserve">Training</w:t>
      </w:r>
      <w:bookmarkEnd w:id="276"/>
    </w:p>
    <w:bookmarkEnd w:id="275"/>
    <w:bookmarkStart w:name="f-203972-1" w:id="277"/>
    <w:p>
      <w:pPr>
        <w:pStyle w:val="Normal"/>
      </w:pPr>
      <w:r>
        <w:rPr/>
        <w:t xml:space="preserve">Requirement: Upon completion and after commissioning, provide one training session for site personnel to include, emergency procedures, abort functions, system control panel operation, trouble procedures and safety requirements.</w:t>
      </w:r>
    </w:p>
    <w:bookmarkEnd w:id="277"/>
    <w:bookmarkEnd w:id="274"/>
    <w:bookmarkStart w:name="f-86677" w:id="278"/>
    <w:bookmarkStart w:name="f-86677-content" w:id="279"/>
    <w:p>
      <w:pPr>
        <w:pStyle w:val="Heading3"/>
      </w:pPr>
      <w:bookmarkStart w:name="h-86677-content" w:id="280"/>
      <w:r>
        <w:rPr/>
        <w:t xml:space="preserve">Maintenance</w:t>
      </w:r>
      <w:bookmarkEnd w:id="280"/>
    </w:p>
    <w:bookmarkEnd w:id="279"/>
    <w:bookmarkEnd w:id="278"/>
    <w:bookmarkStart w:name="f-203939" w:id="281"/>
    <w:bookmarkStart w:name="f-203939-title" w:id="282"/>
    <w:p>
      <w:pPr>
        <w:pStyle w:val="Heading4"/>
      </w:pPr>
      <w:bookmarkStart w:name="h-203939-title" w:id="283"/>
      <w:r>
        <w:rPr/>
        <w:t xml:space="preserve">General</w:t>
      </w:r>
      <w:bookmarkEnd w:id="283"/>
    </w:p>
    <w:bookmarkEnd w:id="282"/>
    <w:bookmarkStart w:name="f-203939-1" w:id="284"/>
    <w:p>
      <w:pPr>
        <w:pStyle w:val="Normal"/>
      </w:pPr>
      <w:r>
        <w:rPr/>
        <w:t xml:space="preserve">Requirement: Provide maintenance to </w:t>
      </w:r>
      <w:r>
        <w:rPr>
          <w:i/>
        </w:rPr>
        <w:t xml:space="preserve">1091 Fire services maintenance</w:t>
      </w:r>
      <w:r>
        <w:rPr/>
        <w:t xml:space="preserve">.</w:t>
      </w:r>
    </w:p>
    <w:bookmarkEnd w:id="284"/>
    <w:bookmarkEnd w:id="281"/>
    <w:bookmarkStart w:name="f-68073" w:id="285"/>
    <w:bookmarkStart w:name="f-68073-content" w:id="286"/>
    <w:p>
      <w:pPr>
        <w:pStyle w:val="Heading2"/>
      </w:pPr>
      <w:bookmarkStart w:name="h-68073-content" w:id="287"/>
      <w:r>
        <w:rPr/>
        <w:t xml:space="preserve">Selections</w:t>
      </w:r>
      <w:bookmarkEnd w:id="287"/>
    </w:p>
    <w:bookmarkEnd w:id="286"/>
    <w:bookmarkEnd w:id="285"/>
    <w:bookmarkStart w:name="f-99936" w:id="288"/>
    <w:bookmarkStart w:name="f-99936-2" w:id="289"/>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289"/>
    <w:bookmarkEnd w:id="288"/>
    <w:bookmarkStart w:name="f-97797" w:id="290"/>
    <w:bookmarkStart w:name="f-97797-content" w:id="291"/>
    <w:p>
      <w:pPr>
        <w:pStyle w:val="Heading3"/>
      </w:pPr>
      <w:bookmarkStart w:name="h-97797-content" w:id="292"/>
      <w:r>
        <w:rPr/>
        <w:t xml:space="preserve">System</w:t>
      </w:r>
      <w:bookmarkEnd w:id="292"/>
    </w:p>
    <w:bookmarkEnd w:id="291"/>
    <w:bookmarkEnd w:id="290"/>
    <w:bookmarkStart w:name="f-203951" w:id="293"/>
    <w:bookmarkStart w:name="f-203951-title" w:id="294"/>
    <w:p>
      <w:pPr>
        <w:pStyle w:val="Heading4"/>
      </w:pPr>
      <w:bookmarkStart w:name="h-203951-title" w:id="295"/>
      <w:r>
        <w:rPr/>
        <w:t xml:space="preserve">System conditions schedule</w:t>
      </w:r>
      <w:bookmarkStart w:id="296" w:name="a-f-91699-content1"/>
      <w:bookmarkEnd w:id="296"/>
      <w:bookmarkStart w:id="297" w:name="a-f-91699"/>
      <w:bookmarkEnd w:id="297"/>
      <w:bookmarkEnd w:id="295"/>
    </w:p>
    <w:bookmarkEnd w:id="294"/>
    <w:bookmarkStart w:name="f-203951-1" w:id="298"/>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Hazard classification</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Average room temperature range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Maximum allowable room pressure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Elevation above sea level</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Room volume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Ductwork volume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bl>
    <w:p>
      <w:pPr>
        <w:pStyle w:val="Normal"/>
      </w:pPr>
      <w:r>
        <w:rPr/>
        <w:t xml:space="preserve"> </w:t>
      </w:r>
    </w:p>
    <w:bookmarkEnd w:id="298"/>
    <w:bookmarkStart w:name="f-203951-2" w:id="299"/>
    <w:bookmarkStart w:name="f-365815" w:id="300"/>
    <w:bookmarkStart w:name="f-365815-1" w:id="301"/>
    <w:p>
      <w:pPr>
        <w:pStyle w:val="Instructions"/>
      </w:pPr>
      <w:r>
        <w:rPr/>
        <w:t xml:space="preserve">The codes in the header row of the schedule designate each application or location of the item scheduled. Edit the codes to match those in other contract documents.</w:t>
      </w:r>
    </w:p>
    <w:bookmarkEnd w:id="301"/>
    <w:bookmarkEnd w:id="300"/>
    <w:bookmarkEnd w:id="299"/>
    <w:bookmarkEnd w:id="293"/>
    <w:bookmarkStart w:name="f-203967" w:id="302"/>
    <w:bookmarkStart w:name="f-203967-title" w:id="303"/>
    <w:p>
      <w:pPr>
        <w:pStyle w:val="Heading4"/>
      </w:pPr>
      <w:bookmarkStart w:name="h-203967-title" w:id="304"/>
      <w:r>
        <w:rPr/>
        <w:t xml:space="preserve">Extinguishing agent schedule</w:t>
      </w:r>
      <w:bookmarkStart w:id="305" w:name="a-f-worksection-refdoc"/>
      <w:bookmarkEnd w:id="305"/>
      <w:bookmarkEnd w:id="304"/>
    </w:p>
    <w:bookmarkEnd w:id="303"/>
    <w:bookmarkStart w:name="f-203967-1" w:id="306"/>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Extinguishing agent</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Extinguishing / Inerting concentration</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Design concentration</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Maximum concentration</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Discharge time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Minimum hold time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bl>
    <w:p>
      <w:pPr>
        <w:pStyle w:val="Normal"/>
      </w:pPr>
      <w:r>
        <w:rPr/>
        <w:t xml:space="preserve"> </w:t>
      </w:r>
    </w:p>
    <w:bookmarkStart w:name="f-2_365815" w:id="307"/>
    <w:bookmarkStart w:name="f-2_365815-1" w:id="308"/>
    <w:p>
      <w:pPr>
        <w:pStyle w:val="Instructions"/>
      </w:pPr>
      <w:r>
        <w:rPr/>
        <w:t xml:space="preserve">The codes in the header row of the schedule designate each application or location of the item scheduled. Edit the codes to match those in other contract documents.</w:t>
      </w:r>
    </w:p>
    <w:bookmarkEnd w:id="308"/>
    <w:bookmarkEnd w:id="307"/>
    <w:p>
      <w:pPr>
        <w:pStyle w:val="Instructions"/>
      </w:pPr>
      <w:r>
        <w:rPr/>
        <w:t xml:space="preserve">Extinguishing agent: Select from Carbon dioxide or the Halocarbons and Inert gases included in the Appendices of AS 4214. Make reference to the relevant Appendix of AS 4214 here. e.g. IG-100 to AS 4214 Appendix L.</w:t>
      </w:r>
    </w:p>
    <w:bookmarkEnd w:id="306"/>
    <w:bookmarkEnd w:id="302"/>
    <w:bookmarkStart w:name="f-203920" w:id="309"/>
    <w:bookmarkStart w:name="f-203920-title" w:id="310"/>
    <w:p>
      <w:pPr>
        <w:pStyle w:val="Heading4"/>
      </w:pPr>
      <w:bookmarkStart w:name="h-203920-title" w:id="311"/>
      <w:r>
        <w:rPr/>
        <w:t xml:space="preserve">Storage container schedule</w:t>
      </w:r>
      <w:bookmarkEnd w:id="311"/>
    </w:p>
    <w:bookmarkEnd w:id="310"/>
    <w:bookmarkStart w:name="f-203920-1" w:id="312"/>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Container material</w:t>
            </w:r>
          </w:p>
        </w:tc>
        <w:tc>
          <w:tcPr>
            <w:tcW w:w="2500" w:type="dxa"/>
          </w:tcPr>
          <w:p/>
        </w:tc>
        <w:tc>
          <w:tcPr>
            <w:tcW w:w="2500" w:type="dxa"/>
          </w:tcPr>
          <w:p/>
        </w:tc>
        <w:tc>
          <w:tcPr>
            <w:tcW w:w="2500" w:type="dxa"/>
          </w:tcPr>
          <w:p/>
        </w:tc>
      </w:tr>
      <w:tr>
        <w:tc>
          <w:tcPr>
            <w:tcW w:w="2500" w:type="dxa"/>
          </w:tcPr>
          <w:p>
            <w:pPr>
              <w:pStyle w:val="Tabletext"/>
            </w:pPr>
            <w:r>
              <w:rPr/>
              <w:t xml:space="preserve">Container size</w:t>
            </w:r>
          </w:p>
        </w:tc>
        <w:tc>
          <w:tcPr>
            <w:tcW w:w="2500" w:type="dxa"/>
          </w:tcPr>
          <w:p/>
        </w:tc>
        <w:tc>
          <w:tcPr>
            <w:tcW w:w="2500" w:type="dxa"/>
          </w:tcPr>
          <w:p/>
        </w:tc>
        <w:tc>
          <w:tcPr>
            <w:tcW w:w="2500" w:type="dxa"/>
          </w:tcPr>
          <w:p/>
        </w:tc>
      </w:tr>
      <w:tr>
        <w:tc>
          <w:tcPr>
            <w:tcW w:w="2500" w:type="dxa"/>
          </w:tcPr>
          <w:p>
            <w:pPr>
              <w:pStyle w:val="Tabletext"/>
            </w:pPr>
            <w:r>
              <w:rPr/>
              <w:t xml:space="preserve">Container capacity</w:t>
            </w:r>
          </w:p>
        </w:tc>
        <w:tc>
          <w:tcPr>
            <w:tcW w:w="2500" w:type="dxa"/>
          </w:tcPr>
          <w:p/>
        </w:tc>
        <w:tc>
          <w:tcPr>
            <w:tcW w:w="2500" w:type="dxa"/>
          </w:tcPr>
          <w:p/>
        </w:tc>
        <w:tc>
          <w:tcPr>
            <w:tcW w:w="2500" w:type="dxa"/>
          </w:tcPr>
          <w:p/>
        </w:tc>
      </w:tr>
      <w:tr>
        <w:tc>
          <w:tcPr>
            <w:tcW w:w="2500" w:type="dxa"/>
          </w:tcPr>
          <w:p>
            <w:pPr>
              <w:pStyle w:val="Tabletext"/>
            </w:pPr>
            <w:r>
              <w:rPr/>
              <w:t xml:space="preserve">Container mass when full</w:t>
            </w:r>
          </w:p>
        </w:tc>
        <w:tc>
          <w:tcPr>
            <w:tcW w:w="2500" w:type="dxa"/>
          </w:tcPr>
          <w:p/>
        </w:tc>
        <w:tc>
          <w:tcPr>
            <w:tcW w:w="2500" w:type="dxa"/>
          </w:tcPr>
          <w:p/>
        </w:tc>
        <w:tc>
          <w:tcPr>
            <w:tcW w:w="2500" w:type="dxa"/>
          </w:tcPr>
          <w:p/>
        </w:tc>
      </w:tr>
      <w:tr>
        <w:tc>
          <w:tcPr>
            <w:tcW w:w="2500" w:type="dxa"/>
          </w:tcPr>
          <w:p>
            <w:pPr>
              <w:pStyle w:val="Tabletext"/>
            </w:pPr>
            <w:r>
              <w:rPr/>
              <w:t xml:space="preserve">Container storage pressure</w:t>
            </w:r>
          </w:p>
        </w:tc>
        <w:tc>
          <w:tcPr>
            <w:tcW w:w="2500" w:type="dxa"/>
          </w:tcPr>
          <w:p/>
        </w:tc>
        <w:tc>
          <w:tcPr>
            <w:tcW w:w="2500" w:type="dxa"/>
          </w:tcPr>
          <w:p/>
        </w:tc>
        <w:tc>
          <w:tcPr>
            <w:tcW w:w="2500" w:type="dxa"/>
          </w:tcPr>
          <w:p/>
        </w:tc>
      </w:tr>
      <w:tr>
        <w:tc>
          <w:tcPr>
            <w:tcW w:w="2500" w:type="dxa"/>
          </w:tcPr>
          <w:p>
            <w:pPr>
              <w:pStyle w:val="Tabletext"/>
            </w:pPr>
            <w:r>
              <w:rPr/>
              <w:t xml:space="preserve">Fill density</w:t>
            </w:r>
          </w:p>
        </w:tc>
        <w:tc>
          <w:tcPr>
            <w:tcW w:w="2500" w:type="dxa"/>
          </w:tcPr>
          <w:p/>
        </w:tc>
        <w:tc>
          <w:tcPr>
            <w:tcW w:w="2500" w:type="dxa"/>
          </w:tcPr>
          <w:p/>
        </w:tc>
        <w:tc>
          <w:tcPr>
            <w:tcW w:w="2500" w:type="dxa"/>
          </w:tcPr>
          <w:p/>
        </w:tc>
      </w:tr>
    </w:tbl>
    <w:p>
      <w:pPr>
        <w:pStyle w:val="Normal"/>
      </w:pPr>
      <w:r>
        <w:rPr/>
        <w:t xml:space="preserve"> </w:t>
      </w:r>
    </w:p>
    <w:bookmarkStart w:name="f-3_365815" w:id="313"/>
    <w:bookmarkStart w:name="f-3_365815-1" w:id="314"/>
    <w:p>
      <w:pPr>
        <w:pStyle w:val="Instructions"/>
      </w:pPr>
      <w:r>
        <w:rPr/>
        <w:t xml:space="preserve">The codes in the header row of the schedule designate each application or location of the item scheduled. Edit the codes to match those in other contract documents.</w:t>
      </w:r>
    </w:p>
    <w:bookmarkEnd w:id="314"/>
    <w:bookmarkEnd w:id="313"/>
    <w:bookmarkEnd w:id="312"/>
    <w:bookmarkEnd w:id="309"/>
    <w:bookmarkStart w:name="f-203933" w:id="315"/>
    <w:bookmarkStart w:name="f-203933-title" w:id="316"/>
    <w:p>
      <w:pPr>
        <w:pStyle w:val="Heading3"/>
      </w:pPr>
      <w:bookmarkStart w:name="h-203933-title" w:id="317"/>
      <w:r>
        <w:rPr/>
        <w:t xml:space="preserve">Distribution</w:t>
      </w:r>
      <w:bookmarkEnd w:id="317"/>
    </w:p>
    <w:bookmarkEnd w:id="316"/>
    <w:bookmarkStart w:name="f-203933-1" w:id="318"/>
    <w:bookmarkEnd w:id="318"/>
    <w:bookmarkEnd w:id="315"/>
    <w:bookmarkStart w:name="f-203957" w:id="319"/>
    <w:bookmarkStart w:name="f-203957-title" w:id="320"/>
    <w:p>
      <w:pPr>
        <w:pStyle w:val="Heading4"/>
      </w:pPr>
      <w:bookmarkStart w:name="h-203957-title" w:id="321"/>
      <w:r>
        <w:rPr/>
        <w:t xml:space="preserve">Piping schedule</w:t>
      </w:r>
      <w:bookmarkEnd w:id="321"/>
    </w:p>
    <w:bookmarkEnd w:id="320"/>
    <w:bookmarkStart w:name="f-203957-1" w:id="322"/>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Class to AS 4041</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Material</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Pressure rating</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Nominal size</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r>
        <w:tc>
          <w:tcPr>
            <w:tcW w:w="2500" w:type="dxa"/>
          </w:tcPr>
          <w:p>
            <w:pPr>
              <w:pStyle w:val="Tabletext"/>
            </w:pPr>
            <w:r>
              <w:rPr/>
              <w:t xml:space="preserve">Nominal wall thickness</w:t>
            </w:r>
          </w:p>
        </w:tc>
        <w:tc>
          <w:tcPr>
            <w:tcW w:w="2500" w:type="dxa"/>
          </w:tcPr>
          <w:p>
            <w:pPr>
              <w:pStyle w:val="Tabletext"/>
            </w:pPr>
            <w:r>
              <w:rPr/>
              <w:t xml:space="preserve"> </w:t>
            </w:r>
          </w:p>
        </w:tc>
        <w:tc>
          <w:tcPr>
            <w:tcW w:w="2500" w:type="dxa"/>
          </w:tcPr>
          <w:p>
            <w:pPr>
              <w:pStyle w:val="Tabletext"/>
            </w:pPr>
            <w:r>
              <w:rPr/>
              <w:t xml:space="preserve"> </w:t>
            </w:r>
          </w:p>
        </w:tc>
        <w:tc>
          <w:tcPr>
            <w:tcW w:w="2500" w:type="dxa"/>
          </w:tcPr>
          <w:p>
            <w:pPr>
              <w:pStyle w:val="Tabletext"/>
            </w:pPr>
            <w:r>
              <w:rPr/>
              <w:t xml:space="preserve"> </w:t>
            </w:r>
          </w:p>
        </w:tc>
      </w:tr>
    </w:tbl>
    <w:p>
      <w:pPr>
        <w:pStyle w:val="Normal"/>
      </w:pPr>
      <w:r>
        <w:rPr/>
        <w:t xml:space="preserve"> </w:t>
      </w:r>
    </w:p>
    <w:bookmarkStart w:name="f-4_365815" w:id="323"/>
    <w:bookmarkStart w:name="f-4_365815-1" w:id="324"/>
    <w:p>
      <w:pPr>
        <w:pStyle w:val="Instructions"/>
      </w:pPr>
      <w:r>
        <w:rPr/>
        <w:t xml:space="preserve">The codes in the header row of the schedule designate each application or location of the item scheduled. Edit the codes to match those in other contract documents.</w:t>
      </w:r>
    </w:p>
    <w:bookmarkEnd w:id="324"/>
    <w:bookmarkEnd w:id="323"/>
    <w:p>
      <w:pPr>
        <w:pStyle w:val="Instructions"/>
      </w:pPr>
      <w:r>
        <w:rPr/>
        <w:t xml:space="preserve">Class to AS 4041: Nominate class of pipe. e.g. Class 1, Class 2A, etc. Refer to AS 4041 Table 1.4.</w:t>
      </w:r>
    </w:p>
    <w:p>
      <w:pPr>
        <w:pStyle w:val="Instructions"/>
      </w:pPr>
      <w:r>
        <w:rPr/>
        <w:t xml:space="preserve">Material: Nominate piping material. e.g. Galvanized steel.</w:t>
      </w:r>
    </w:p>
    <w:bookmarkEnd w:id="322"/>
    <w:bookmarkEnd w:id="319"/>
    <w:bookmarkStart w:name="f-203947" w:id="325"/>
    <w:bookmarkStart w:name="f-203947-title" w:id="326"/>
    <w:p>
      <w:pPr>
        <w:pStyle w:val="Heading4"/>
      </w:pPr>
      <w:bookmarkStart w:name="h-203947-title" w:id="327"/>
      <w:r>
        <w:rPr/>
        <w:t xml:space="preserve">Nozzle schedule</w:t>
      </w:r>
      <w:bookmarkEnd w:id="327"/>
    </w:p>
    <w:bookmarkEnd w:id="326"/>
    <w:bookmarkStart w:name="f-203947-1" w:id="328"/>
    <w:tbl>
      <w:tblGrid>
        <w:gridCol w:w="2500"/>
        <w:gridCol w:w="2500"/>
        <w:gridCol w:w="2500"/>
        <w:gridCol w:w="2500"/>
      </w:tblGrid>
      <w:tblPr>
        <w:tblStyle w:val="NATSPECTable"/>
        <w:tblW w:w="5000" w:type="pct"/>
        <w:tblLook w:val="05E0" w:firstRow="1" w:lastRow="0" w:firstColumn="0" w:lastColumn="0"/>
      </w:tblPr>
      <w:tr>
        <w:trPr>
          <w:tblHeader/>
        </w:trPr>
        <w:tc>
          <w:tcPr>
            <w:tcW w:w="2500" w:type="dxa"/>
          </w:tcPr>
          <w:p/>
        </w:tc>
        <w:tc>
          <w:tcPr>
            <w:tcW w:w="2500" w:type="dxa"/>
          </w:tcPr>
          <w:p>
            <w:pPr>
              <w:pStyle w:val="Tabletitle"/>
            </w:pPr>
            <w:r>
              <w:rPr/>
              <w:t xml:space="preserve">A</w:t>
            </w:r>
          </w:p>
        </w:tc>
        <w:tc>
          <w:tcPr>
            <w:tcW w:w="2500" w:type="dxa"/>
          </w:tcPr>
          <w:p>
            <w:pPr>
              <w:pStyle w:val="Tabletitle"/>
            </w:pPr>
            <w:r>
              <w:rPr/>
              <w:t xml:space="preserve">B</w:t>
            </w:r>
          </w:p>
        </w:tc>
        <w:tc>
          <w:tcPr>
            <w:tcW w:w="2500" w:type="dxa"/>
          </w:tcPr>
          <w:p>
            <w:pPr>
              <w:pStyle w:val="Tabletitle"/>
            </w:pPr>
            <w:r>
              <w:rPr/>
              <w:t xml:space="preserve">C</w:t>
            </w:r>
          </w:p>
        </w:tc>
      </w:tr>
      <w:tr>
        <w:tc>
          <w:tcPr>
            <w:tcW w:w="2500" w:type="dxa"/>
          </w:tcPr>
          <w:p>
            <w:pPr>
              <w:pStyle w:val="Tabletext"/>
            </w:pPr>
            <w:r>
              <w:rPr/>
              <w:t xml:space="preserve">Inlet size</w:t>
            </w:r>
          </w:p>
        </w:tc>
        <w:tc>
          <w:tcPr>
            <w:tcW w:w="2500" w:type="dxa"/>
          </w:tcPr>
          <w:p/>
        </w:tc>
        <w:tc>
          <w:tcPr>
            <w:tcW w:w="2500" w:type="dxa"/>
          </w:tcPr>
          <w:p/>
        </w:tc>
        <w:tc>
          <w:tcPr>
            <w:tcW w:w="2500" w:type="dxa"/>
          </w:tcPr>
          <w:p/>
        </w:tc>
      </w:tr>
      <w:tr>
        <w:tc>
          <w:tcPr>
            <w:tcW w:w="2500" w:type="dxa"/>
          </w:tcPr>
          <w:p>
            <w:pPr>
              <w:pStyle w:val="Tabletext"/>
            </w:pPr>
            <w:r>
              <w:rPr/>
              <w:t xml:space="preserve">Orifice port configuration</w:t>
            </w:r>
          </w:p>
        </w:tc>
        <w:tc>
          <w:tcPr>
            <w:tcW w:w="2500" w:type="dxa"/>
          </w:tcPr>
          <w:p/>
        </w:tc>
        <w:tc>
          <w:tcPr>
            <w:tcW w:w="2500" w:type="dxa"/>
          </w:tcPr>
          <w:p/>
        </w:tc>
        <w:tc>
          <w:tcPr>
            <w:tcW w:w="2500" w:type="dxa"/>
          </w:tcPr>
          <w:p/>
        </w:tc>
      </w:tr>
      <w:tr>
        <w:tc>
          <w:tcPr>
            <w:tcW w:w="2500" w:type="dxa"/>
          </w:tcPr>
          <w:p>
            <w:pPr>
              <w:pStyle w:val="Tabletext"/>
            </w:pPr>
            <w:r>
              <w:rPr/>
              <w:t xml:space="preserve">Orifice size/code</w:t>
            </w:r>
          </w:p>
        </w:tc>
        <w:tc>
          <w:tcPr>
            <w:tcW w:w="2500" w:type="dxa"/>
          </w:tcPr>
          <w:p/>
        </w:tc>
        <w:tc>
          <w:tcPr>
            <w:tcW w:w="2500" w:type="dxa"/>
          </w:tcPr>
          <w:p/>
        </w:tc>
        <w:tc>
          <w:tcPr>
            <w:tcW w:w="2500" w:type="dxa"/>
          </w:tcPr>
          <w:p/>
        </w:tc>
      </w:tr>
      <w:tr>
        <w:tc>
          <w:tcPr>
            <w:tcW w:w="2500" w:type="dxa"/>
          </w:tcPr>
          <w:p>
            <w:pPr>
              <w:pStyle w:val="Tabletext"/>
            </w:pPr>
            <w:r>
              <w:rPr/>
              <w:t xml:space="preserve">Pressure reducing device</w:t>
            </w:r>
          </w:p>
        </w:tc>
        <w:tc>
          <w:tcPr>
            <w:tcW w:w="2500" w:type="dxa"/>
          </w:tcPr>
          <w:p/>
        </w:tc>
        <w:tc>
          <w:tcPr>
            <w:tcW w:w="2500" w:type="dxa"/>
          </w:tcPr>
          <w:p/>
        </w:tc>
        <w:tc>
          <w:tcPr>
            <w:tcW w:w="2500" w:type="dxa"/>
          </w:tcPr>
          <w:p/>
        </w:tc>
      </w:tr>
      <w:tr>
        <w:tc>
          <w:tcPr>
            <w:tcW w:w="2500" w:type="dxa"/>
          </w:tcPr>
          <w:p>
            <w:pPr>
              <w:pStyle w:val="Tabletext"/>
            </w:pPr>
            <w:r>
              <w:rPr/>
              <w:t xml:space="preserve">Orifice size of pressure reducing device</w:t>
            </w:r>
          </w:p>
        </w:tc>
        <w:tc>
          <w:tcPr>
            <w:tcW w:w="2500" w:type="dxa"/>
          </w:tcPr>
          <w:p/>
        </w:tc>
        <w:tc>
          <w:tcPr>
            <w:tcW w:w="2500" w:type="dxa"/>
          </w:tcPr>
          <w:p/>
        </w:tc>
        <w:tc>
          <w:tcPr>
            <w:tcW w:w="2500" w:type="dxa"/>
          </w:tcPr>
          <w:p/>
        </w:tc>
      </w:tr>
    </w:tbl>
    <w:p>
      <w:pPr>
        <w:pStyle w:val="Normal"/>
      </w:pPr>
      <w:r>
        <w:rPr/>
        <w:t xml:space="preserve"> </w:t>
      </w:r>
    </w:p>
    <w:bookmarkStart w:name="f-5_365815" w:id="329"/>
    <w:bookmarkStart w:name="f-5_365815-1" w:id="330"/>
    <w:p>
      <w:pPr>
        <w:pStyle w:val="Instructions"/>
      </w:pPr>
      <w:r>
        <w:rPr/>
        <w:t xml:space="preserve">The codes in the header row of the schedule designate each application or location of the item scheduled. Edit the codes to match those in other contract documents.</w:t>
      </w:r>
    </w:p>
    <w:bookmarkEnd w:id="330"/>
    <w:bookmarkEnd w:id="329"/>
    <w:bookmarkEnd w:id="328"/>
    <w:bookmarkEnd w:id="325"/>
    <w:bookmarkEnd w:id="1"/>
    <w:bookmarkStart w:name="f-worksection-refdoc" w:id="331"/>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AS/NZS 1170</w:t>
      </w:r>
      <w:r>
        <w:tab/>
      </w:r>
      <w:r>
        <w:tab/>
      </w:r>
      <w:r>
        <w:rPr/>
        <w:t xml:space="preserve">Structural design actions</w:t>
      </w:r>
    </w:p>
    <w:p>
      <w:pPr>
        <w:pStyle w:val="Standard2"/>
      </w:pPr>
      <w:r>
        <w:rPr/>
        <w:t xml:space="preserve">AS 1170.4</w:t>
      </w:r>
      <w:r>
        <w:tab/>
      </w:r>
      <w:r>
        <w:rPr/>
        <w:t xml:space="preserve">2007</w:t>
      </w:r>
      <w:r>
        <w:tab/>
      </w:r>
      <w:r>
        <w:rPr/>
        <w:t xml:space="preserve">Earthquake actions in Australia</w:t>
      </w:r>
    </w:p>
    <w:p>
      <w:pPr>
        <w:pStyle w:val="Standard1"/>
      </w:pPr>
      <w:r>
        <w:rPr/>
        <w:t xml:space="preserve">AS 1530</w:t>
      </w:r>
      <w:r>
        <w:tab/>
      </w:r>
      <w:r>
        <w:tab/>
      </w:r>
      <w:r>
        <w:rPr/>
        <w:t xml:space="preserve">Methods for fire tests on building materials, components and structures</w:t>
      </w:r>
    </w:p>
    <w:p>
      <w:pPr>
        <w:pStyle w:val="Standard2"/>
      </w:pPr>
      <w:r>
        <w:rPr/>
        <w:t xml:space="preserve">AS 1530.1</w:t>
      </w:r>
      <w:r>
        <w:tab/>
      </w:r>
      <w:r>
        <w:rPr/>
        <w:t xml:space="preserve">1994</w:t>
      </w:r>
      <w:r>
        <w:tab/>
      </w:r>
      <w:r>
        <w:rPr/>
        <w:t xml:space="preserve">Combustibility test for materials</w:t>
      </w:r>
    </w:p>
    <w:p>
      <w:pPr>
        <w:pStyle w:val="Standard1"/>
      </w:pPr>
      <w:r>
        <w:rPr/>
        <w:t xml:space="preserve">AS 1670</w:t>
      </w:r>
      <w:r>
        <w:tab/>
      </w:r>
      <w:r>
        <w:tab/>
      </w:r>
      <w:r>
        <w:rPr/>
        <w:t xml:space="preserve">Fire detection, warning, control and intercom systems - System design, installation and commissioning</w:t>
      </w:r>
    </w:p>
    <w:p>
      <w:pPr>
        <w:pStyle w:val="Standard2"/>
      </w:pPr>
      <w:r>
        <w:rPr/>
        <w:t xml:space="preserve">AS 1670.5</w:t>
      </w:r>
      <w:r>
        <w:tab/>
      </w:r>
      <w:r>
        <w:rPr/>
        <w:t xml:space="preserve">2016</w:t>
      </w:r>
      <w:r>
        <w:tab/>
      </w:r>
      <w:r>
        <w:rPr/>
        <w:t xml:space="preserve">Special hazard systems</w:t>
      </w:r>
    </w:p>
    <w:p>
      <w:pPr>
        <w:pStyle w:val="Standard1"/>
      </w:pPr>
      <w:r>
        <w:rPr/>
        <w:t xml:space="preserve">AS 1851</w:t>
      </w:r>
      <w:r>
        <w:tab/>
      </w:r>
      <w:r>
        <w:rPr/>
        <w:t xml:space="preserve">2012</w:t>
      </w:r>
      <w:r>
        <w:tab/>
      </w:r>
      <w:r>
        <w:rPr/>
        <w:t xml:space="preserve">Routine service of fire protection systems and equipment</w:t>
      </w:r>
    </w:p>
    <w:p>
      <w:pPr>
        <w:pStyle w:val="Standard1"/>
      </w:pPr>
      <w:r>
        <w:rPr/>
        <w:t xml:space="preserve">AS 2030</w:t>
      </w:r>
      <w:r>
        <w:tab/>
      </w:r>
      <w:r>
        <w:tab/>
      </w:r>
      <w:r>
        <w:rPr/>
        <w:t xml:space="preserve">Gas cylinders</w:t>
      </w:r>
    </w:p>
    <w:p>
      <w:pPr>
        <w:pStyle w:val="Standard2"/>
      </w:pPr>
      <w:r>
        <w:rPr/>
        <w:t xml:space="preserve">AS 2030.1</w:t>
      </w:r>
      <w:r>
        <w:tab/>
      </w:r>
      <w:r>
        <w:rPr/>
        <w:t xml:space="preserve">2009</w:t>
      </w:r>
      <w:r>
        <w:tab/>
      </w:r>
      <w:r>
        <w:rPr/>
        <w:t xml:space="preserve">General requirements</w:t>
      </w:r>
    </w:p>
    <w:p>
      <w:pPr>
        <w:pStyle w:val="Standard1"/>
      </w:pPr>
      <w:r>
        <w:rPr/>
        <w:t xml:space="preserve">AS 2473</w:t>
      </w:r>
      <w:r>
        <w:tab/>
      </w:r>
      <w:r>
        <w:tab/>
      </w:r>
      <w:r>
        <w:rPr/>
        <w:t xml:space="preserve">Valves for compressed gas cylinders</w:t>
      </w:r>
    </w:p>
    <w:p>
      <w:pPr>
        <w:pStyle w:val="Standard2"/>
      </w:pPr>
      <w:r>
        <w:rPr/>
        <w:t xml:space="preserve">AS 2473.1</w:t>
      </w:r>
      <w:r>
        <w:tab/>
      </w:r>
      <w:r>
        <w:rPr/>
        <w:t xml:space="preserve">2006</w:t>
      </w:r>
      <w:r>
        <w:tab/>
      </w:r>
      <w:r>
        <w:rPr/>
        <w:t xml:space="preserve">Specifications, type testing, and manufacturing tests and inspections</w:t>
      </w:r>
    </w:p>
    <w:p>
      <w:pPr>
        <w:pStyle w:val="Standard1"/>
      </w:pPr>
      <w:r>
        <w:rPr/>
        <w:t xml:space="preserve">AS 4041</w:t>
      </w:r>
      <w:r>
        <w:tab/>
      </w:r>
      <w:r>
        <w:rPr/>
        <w:t xml:space="preserve">2006</w:t>
      </w:r>
      <w:r>
        <w:tab/>
      </w:r>
      <w:r>
        <w:rPr/>
        <w:t xml:space="preserve">Pressure piping</w:t>
      </w:r>
    </w:p>
    <w:p>
      <w:pPr>
        <w:pStyle w:val="Standard1"/>
      </w:pPr>
      <w:r>
        <w:rPr/>
        <w:t xml:space="preserve">AS 4078</w:t>
      </w:r>
      <w:r>
        <w:tab/>
      </w:r>
      <w:r>
        <w:rPr/>
        <w:t xml:space="preserve">1992</w:t>
      </w:r>
      <w:r>
        <w:tab/>
      </w:r>
      <w:r>
        <w:rPr/>
        <w:t xml:space="preserve">Fire protection - Fire extinguishing media - Carbon dioxide</w:t>
      </w:r>
    </w:p>
    <w:p>
      <w:pPr>
        <w:pStyle w:val="Standard1"/>
      </w:pPr>
      <w:r>
        <w:rPr/>
        <w:t xml:space="preserve">AS 4214</w:t>
      </w:r>
      <w:r>
        <w:tab/>
      </w:r>
      <w:r>
        <w:rPr/>
        <w:t xml:space="preserve">2018</w:t>
      </w:r>
      <w:r>
        <w:tab/>
      </w:r>
      <w:r>
        <w:rPr/>
        <w:t xml:space="preserve">Gaseous fire-extinguishing systems</w:t>
      </w:r>
    </w:p>
    <w:p>
      <w:pPr>
        <w:pStyle w:val="Standard1"/>
      </w:pPr>
      <w:r>
        <w:rPr/>
        <w:t xml:space="preserve">AS 6183</w:t>
      </w:r>
      <w:r>
        <w:tab/>
      </w:r>
      <w:r>
        <w:rPr/>
        <w:t xml:space="preserve">2011</w:t>
      </w:r>
      <w:r>
        <w:tab/>
      </w:r>
      <w:r>
        <w:rPr/>
        <w:t xml:space="preserve">Fire protection equipment - Carbon dioxide extinguishing systems for use on premises - Design and installation (ISO 6183:2009, MOD)</w:t>
      </w:r>
    </w:p>
    <w:p>
      <w:pPr>
        <w:pStyle w:val="Standard1"/>
      </w:pPr>
      <w:r>
        <w:rPr/>
        <w:t xml:space="preserve">AS ISO 16003</w:t>
      </w:r>
      <w:r>
        <w:tab/>
      </w:r>
      <w:r>
        <w:rPr/>
        <w:t xml:space="preserve">2010</w:t>
      </w:r>
      <w:r>
        <w:tab/>
      </w:r>
      <w:r>
        <w:rPr/>
        <w:t xml:space="preserve">Components for fire extinguishing systems using gas - Requirements and test methods - Container valve assemblies and their actuators; selector valves and their actuators; nozzles; flexible and rigid connectors; and check valves and non-return valves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SA HB 20</w:t>
      </w:r>
      <w:r>
        <w:tab/>
      </w:r>
      <w:r>
        <w:rPr/>
        <w:t xml:space="preserve">1996</w:t>
      </w:r>
      <w:r>
        <w:tab/>
      </w:r>
      <w:r>
        <w:rPr/>
        <w:t xml:space="preserve">Graphical symbols for fire protection drawings</w:t>
      </w:r>
    </w:p>
    <w:p>
      <w:pPr>
        <w:pStyle w:val="Standard1"/>
      </w:pPr>
      <w:r>
        <w:rPr/>
        <w:t xml:space="preserve">NATSPEC GEN 020</w:t>
      </w:r>
      <w:r>
        <w:tab/>
      </w:r>
      <w:r>
        <w:rPr/>
        <w:t xml:space="preserve">2018</w:t>
      </w:r>
      <w:r>
        <w:tab/>
      </w:r>
      <w:r>
        <w:rPr/>
        <w:t xml:space="preserve">Building commissioning</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01</w:t>
      </w:r>
      <w:r>
        <w:tab/>
      </w:r>
      <w:r>
        <w:rPr/>
        <w:t xml:space="preserve">2021</w:t>
      </w:r>
      <w:r>
        <w:tab/>
      </w:r>
      <w:r>
        <w:rPr/>
        <w:t xml:space="preserve">Specifying ESD</w:t>
      </w:r>
    </w:p>
    <w:bookmarkEnd w:id="331"/>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1041 Gaseous fire suppression systems</dc:title>
  <cp:category>10 FIRE</cp:category>
</cp:coreProperties>
</file>