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24580" w:id="0"/>
    <w:bookmarkEnd w:id="0"/>
    <w:bookmarkStart w:name="f-124580-worksection-current" w:id="1"/>
    <w:bookmarkStart w:name="f-124569" w:id="2"/>
    <w:bookmarkStart w:name="f-124569-title" w:id="3"/>
    <w:p>
      <w:pPr>
        <w:pStyle w:val="Heading1"/>
      </w:pPr>
      <w:bookmarkStart w:name="h-124569-title" w:id="4"/>
      <w:r>
        <w:rPr/>
        <w:t xml:space="preserve">0140 Preliminaries – ABIC BW 2018 C</w:t>
      </w:r>
      <w:bookmarkEnd w:id="4"/>
    </w:p>
    <w:bookmarkEnd w:id="3"/>
    <w:bookmarkEnd w:id="2"/>
    <w:bookmarkStart w:name="f-2_124583" w:id="5"/>
    <w:bookmarkStart w:name="f-2_124583-1" w:id="6"/>
    <w:p>
      <w:pPr>
        <w:pStyle w:val="InstructionsHeading4"/>
      </w:pPr>
      <w:r>
        <w:rPr/>
        <w:t xml:space="preserve">Worksection abstract</w:t>
      </w:r>
    </w:p>
    <w:p>
      <w:pPr>
        <w:pStyle w:val="Instructions"/>
      </w:pPr>
      <w:r>
        <w:rPr/>
        <w:t xml:space="preserve">This worksection </w:t>
      </w:r>
      <w:r>
        <w:rPr>
          <w:i/>
        </w:rPr>
        <w:t xml:space="preserve">Template</w:t>
      </w:r>
      <w:r>
        <w:rPr/>
        <w:t xml:space="preserve"> is applicable to the ABIC BW 2018 C contract for small commercial projects or single trade activities where an architect administers the contract, applicable in all states and territories. It is relevant to the site requirements of the owner. The project specific version may include site security arrangements, adjoining property constraints, occupancy constraints, owner's temporary facilities, project signage, authority requirements, survey requirements, owner-supplied items, and pest eradication.</w:t>
      </w:r>
    </w:p>
    <w:bookmarkEnd w:id="6"/>
    <w:bookmarkEnd w:id="5"/>
    <w:bookmarkStart w:name="f-124586" w:id="7"/>
    <w:bookmarkStart w:name="f-124586-1" w:id="8"/>
    <w:p>
      <w:pPr>
        <w:pStyle w:val="InstructionsHeading4"/>
      </w:pPr>
      <w:r>
        <w:rPr/>
        <w:t xml:space="preserve">Background</w:t>
      </w:r>
    </w:p>
    <w:p>
      <w:pPr>
        <w:pStyle w:val="Instructions"/>
      </w:pPr>
      <w:r>
        <w:rPr/>
        <w:t xml:space="preserve">NATSPEC also provides preliminaries for ABIC EW-1, ABIC SW-2018, ABIC MW-2018, AS 2124, AS 4000, AS 4902, AS 4905 and NCW4 contracts.</w:t>
      </w:r>
    </w:p>
    <w:p>
      <w:pPr>
        <w:pStyle w:val="Instructions"/>
      </w:pPr>
      <w:r>
        <w:rPr/>
        <w:t xml:space="preserve">Refer to NATSPEC TECHnote GEN 016 for information on the differences between the general conditions of contract and the specification preliminaries.</w:t>
      </w:r>
    </w:p>
    <w:bookmarkEnd w:id="8"/>
    <w:bookmarkEnd w:id="7"/>
    <w:bookmarkStart w:name="f-99906" w:id="9"/>
    <w:bookmarkStart w:name="f-99906-2" w:id="10"/>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10"/>
    <w:bookmarkEnd w:id="9"/>
    <w:bookmarkStart w:name="f-124559" w:id="11"/>
    <w:bookmarkStart w:name="f-124559-1" w:id="12"/>
    <w:p>
      <w:pPr>
        <w:pStyle w:val="InstructionsHeading4"/>
      </w:pPr>
      <w:r>
        <w:rPr/>
        <w:t xml:space="preserve">Related material located elsewhere in NATSPEC</w:t>
      </w:r>
    </w:p>
    <w:p>
      <w:pPr>
        <w:pStyle w:val="Instructions"/>
      </w:pPr>
      <w:r>
        <w:rPr/>
        <w:t xml:space="preserve">If a listed worksection is not part of your subscription and you wish to purchase it, contact NATSPEC.</w:t>
      </w:r>
    </w:p>
    <w:p>
      <w:pPr>
        <w:pStyle w:val="Instructions"/>
      </w:pPr>
      <w:r>
        <w:rPr/>
        <w:t xml:space="preserve">Related material may be found in other worksections. See for example:</w:t>
      </w:r>
    </w:p>
    <w:p>
      <w:pPr>
        <w:pStyle w:val="Instructionsindent"/>
      </w:pPr>
      <w:r>
        <w:rPr>
          <w:i/>
        </w:rPr>
        <w:t xml:space="preserve">0121 Tendering</w:t>
      </w:r>
      <w:r>
        <w:rPr>
          <w:i/>
        </w:rPr>
        <w:t xml:space="preserve">.</w:t>
      </w:r>
    </w:p>
    <w:p>
      <w:pPr>
        <w:pStyle w:val="Instructionsindent"/>
      </w:pPr>
      <w:r>
        <w:rPr>
          <w:i/>
        </w:rPr>
        <w:t xml:space="preserve">0160 Quality</w:t>
      </w:r>
      <w:r>
        <w:rPr/>
        <w:t xml:space="preserve"> and any relevant provisions in the contract for quality assurance.</w:t>
      </w:r>
    </w:p>
    <w:p>
      <w:pPr>
        <w:pStyle w:val="Instructionsindent"/>
      </w:pPr>
      <w:r>
        <w:rPr>
          <w:i/>
        </w:rPr>
        <w:t xml:space="preserve">0171 General requirements</w:t>
      </w:r>
      <w:r>
        <w:rPr>
          <w:i/>
        </w:rPr>
        <w:t xml:space="preserve">.</w:t>
      </w:r>
    </w:p>
    <w:p>
      <w:pPr>
        <w:pStyle w:val="Instructionsindent"/>
      </w:pPr>
      <w:r>
        <w:rPr>
          <w:i/>
        </w:rPr>
        <w:t xml:space="preserve">0172 Environmental management</w:t>
      </w:r>
      <w:r>
        <w:rPr/>
        <w:t xml:space="preserve"> for environmental protection.</w:t>
      </w:r>
    </w:p>
    <w:p>
      <w:pPr>
        <w:pStyle w:val="Instructionsindent"/>
      </w:pPr>
      <w:r>
        <w:rPr>
          <w:i/>
        </w:rPr>
        <w:t xml:space="preserve">0201 Demolition</w:t>
      </w:r>
      <w:r>
        <w:rPr/>
        <w:t xml:space="preserve"> for disposal of demolished materials.</w:t>
      </w:r>
    </w:p>
    <w:bookmarkEnd w:id="12"/>
    <w:bookmarkEnd w:id="11"/>
    <w:bookmarkStart w:name="f-190860" w:id="13"/>
    <w:bookmarkStart w:name="f-190860-1" w:id="14"/>
    <w:p>
      <w:pPr>
        <w:pStyle w:val="InstructionsHeading4"/>
      </w:pPr>
      <w:r>
        <w:rPr/>
        <w:t xml:space="preserve">Cross references</w:t>
      </w:r>
    </w:p>
    <w:p>
      <w:pPr>
        <w:pStyle w:val="Instructions"/>
      </w:pPr>
      <w:r>
        <w:rPr/>
        <w:t xml:space="preserve">Worksections that cross reference this worksection are:</w:t>
      </w:r>
    </w:p>
    <w:p>
      <w:pPr>
        <w:pStyle w:val="Instructionsindent"/>
      </w:pPr>
      <w:r>
        <w:rPr/>
        <w:t xml:space="preserve">None.</w:t>
      </w:r>
    </w:p>
    <w:bookmarkEnd w:id="14"/>
    <w:bookmarkEnd w:id="13"/>
    <w:bookmarkStart w:name="f-124577" w:id="15"/>
    <w:bookmarkStart w:name="f-124577-1" w:id="16"/>
    <w:p>
      <w:pPr>
        <w:pStyle w:val="InstructionsHeading4"/>
      </w:pPr>
      <w:r>
        <w:rPr/>
        <w:t xml:space="preserve">Material not included in NATSPEC</w:t>
      </w:r>
    </w:p>
    <w:p>
      <w:pPr>
        <w:pStyle w:val="Instructions"/>
      </w:pPr>
      <w:r>
        <w:rPr/>
        <w:t xml:space="preserve">Some projects may include items not covered by NATSPEC. For these you may need to create new text, or modify this text or a suitable worksection. For example:</w:t>
      </w:r>
    </w:p>
    <w:p>
      <w:pPr>
        <w:pStyle w:val="Instructionsindent"/>
      </w:pPr>
      <w:r>
        <w:rPr/>
        <w:t xml:space="preserve">On incorporation of the owner's policies (e.g. apprentice employment, prohibition of smoking, union labour employment, existing site allowances, procurement policies, insurance arrangements).</w:t>
      </w:r>
    </w:p>
    <w:p>
      <w:pPr>
        <w:pStyle w:val="Instructionsindent"/>
      </w:pPr>
      <w:r>
        <w:rPr/>
        <w:t xml:space="preserve">The contractor’s preliminaries (e.g. scaffolds, lunch sheds, cranes, site security) except where these relate to persons other than contractor (who may be either separate contractors or persons identified by the architect who become subcontractors).</w:t>
      </w:r>
    </w:p>
    <w:bookmarkEnd w:id="16"/>
    <w:bookmarkEnd w:id="15"/>
    <w:bookmarkStart w:name="f-124590" w:id="17"/>
    <w:bookmarkStart w:name="f-124590-1" w:id="18"/>
    <w:p>
      <w:pPr>
        <w:pStyle w:val="InstructionsHeading4"/>
      </w:pPr>
      <w:r>
        <w:rPr/>
        <w:t xml:space="preserve">Documenting this and related work</w:t>
      </w:r>
    </w:p>
    <w:p>
      <w:pPr>
        <w:pStyle w:val="Instructions"/>
      </w:pPr>
      <w:r>
        <w:rPr/>
        <w:t xml:space="preserve">You may document this and related work as follows:</w:t>
      </w:r>
    </w:p>
    <w:p>
      <w:pPr>
        <w:pStyle w:val="Instructionsindent"/>
      </w:pPr>
      <w:r>
        <w:rPr/>
        <w:t xml:space="preserve">This worksection is intended for use with, and affects the execution of, all technical worksections of the project specification.</w:t>
      </w:r>
    </w:p>
    <w:p>
      <w:pPr>
        <w:pStyle w:val="Instructionsindent"/>
      </w:pPr>
      <w:r>
        <w:rPr/>
        <w:t xml:space="preserve">The contents of this worksection should be drawn to the attention of other project consultants for coordination. The contents of this worksection should also be brought to the attention of identified subcontractors, via the identified subcontract preliminaries.</w:t>
      </w:r>
    </w:p>
    <w:p>
      <w:pPr>
        <w:pStyle w:val="Instructionsindent"/>
      </w:pPr>
      <w:r>
        <w:rPr/>
        <w:t xml:space="preserve">This worksection should be read in the context of the general conditions of contract, any special conditions of contract, and any separately specified quality assurance requirements.</w:t>
      </w:r>
    </w:p>
    <w:p>
      <w:pPr>
        <w:pStyle w:val="Instructionsindent"/>
      </w:pPr>
      <w:r>
        <w:rPr/>
        <w:t xml:space="preserve">An outline description of the works should be located in the contract and the contract documents should be listed.</w:t>
      </w:r>
    </w:p>
    <w:p>
      <w:pPr>
        <w:pStyle w:val="Instructionsindent"/>
      </w:pPr>
      <w:r>
        <w:rPr/>
        <w:t xml:space="preserve">Consider incorporating development approval conditions that are the responsibility of the contractor.</w:t>
      </w:r>
    </w:p>
    <w:p>
      <w:pPr>
        <w:pStyle w:val="Instructionsindent"/>
      </w:pPr>
      <w:r>
        <w:rPr/>
        <w:t xml:space="preserve">For quality assurance (QA), see </w:t>
      </w:r>
      <w:r>
        <w:rPr>
          <w:i/>
        </w:rPr>
        <w:t xml:space="preserve">0160 Quality</w:t>
      </w:r>
      <w:r>
        <w:rPr/>
        <w:t xml:space="preserve"> – though the contract does not anticipate use of QA. Indeed However, because quality assurance affects fundamentally the roles and responsibilities of the architect, contractor and owner, it may be that conventional forms of contract (such as ABIC BW 2018 C) are not suitable where QA is required. If concerned, seek advice on this matter.</w:t>
      </w:r>
    </w:p>
    <w:bookmarkStart w:name="f-104408" w:id="19"/>
    <w:bookmarkStart w:name="f-10440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p>
      <w:pPr>
        <w:pStyle w:val="Instructions"/>
      </w:pPr>
      <w:r>
        <w:rPr/>
        <w:t xml:space="preserve">Search </w:t>
      </w:r>
      <w:r>
        <w:fldChar w:fldCharType="begin"/>
      </w:r>
      <w:r>
        <w:instrText xml:space="preserve"> HYPERLINK "http://acumen.architecture.com.au/" </w:instrText>
      </w:r>
      <w:r>
        <w:fldChar w:fldCharType="separate"/>
      </w:r>
      <w:r>
        <w:rPr>
          <w:rStyle w:val="DefaultParagraphFont"/>
        </w:rPr>
        <w:t>acumen.architecture.com.au</w:t>
      </w:r>
      <w:r>
        <w:fldChar w:fldCharType="end"/>
      </w:r>
      <w:r>
        <w:rPr/>
        <w:t xml:space="preserve">, the Australian Institute of Architects’ practice advisory subscription service, for notes on the following:</w:t>
      </w:r>
    </w:p>
    <w:p>
      <w:pPr>
        <w:pStyle w:val="Instructionsindent"/>
      </w:pPr>
      <w:r>
        <w:rPr/>
        <w:t xml:space="preserve">ABIC contracts.</w:t>
      </w:r>
    </w:p>
    <w:p>
      <w:pPr>
        <w:pStyle w:val="Instructionsindent"/>
      </w:pPr>
      <w:r>
        <w:rPr/>
        <w:t xml:space="preserve">Adverse possession - ensuring the building is on the right site.</w:t>
      </w:r>
    </w:p>
    <w:p>
      <w:pPr>
        <w:pStyle w:val="Instructionsindent"/>
      </w:pPr>
      <w:r>
        <w:rPr/>
        <w:t xml:space="preserve">Birds and buildings.</w:t>
      </w:r>
    </w:p>
    <w:p>
      <w:pPr>
        <w:pStyle w:val="Instructionsindent"/>
      </w:pPr>
      <w:r>
        <w:rPr/>
        <w:t xml:space="preserve">Clerk of works.</w:t>
      </w:r>
    </w:p>
    <w:p>
      <w:pPr>
        <w:pStyle w:val="Instructionsindent"/>
      </w:pPr>
      <w:r>
        <w:rPr/>
        <w:t xml:space="preserve">Contract preparation - for incorporation of government policy.</w:t>
      </w:r>
    </w:p>
    <w:p>
      <w:pPr>
        <w:pStyle w:val="Instructionsindent"/>
      </w:pPr>
      <w:r>
        <w:rPr/>
        <w:t xml:space="preserve">Contract administration.</w:t>
      </w:r>
    </w:p>
    <w:p>
      <w:pPr>
        <w:pStyle w:val="Instructionsindent"/>
      </w:pPr>
      <w:r>
        <w:rPr/>
        <w:t xml:space="preserve">Lead hazards in construction.</w:t>
      </w:r>
    </w:p>
    <w:p>
      <w:pPr>
        <w:pStyle w:val="Instructionsindent"/>
      </w:pPr>
      <w:r>
        <w:rPr/>
        <w:t xml:space="preserve">Meetings.</w:t>
      </w:r>
    </w:p>
    <w:p>
      <w:pPr>
        <w:pStyle w:val="Instructionsindent"/>
      </w:pPr>
      <w:r>
        <w:rPr/>
        <w:t xml:space="preserve">Negotiated contracts.</w:t>
      </w:r>
    </w:p>
    <w:p>
      <w:pPr>
        <w:pStyle w:val="Instructionsindent"/>
      </w:pPr>
      <w:r>
        <w:rPr/>
        <w:t xml:space="preserve">Noise from building sites.</w:t>
      </w:r>
    </w:p>
    <w:p>
      <w:pPr>
        <w:pStyle w:val="Instructionsindent"/>
      </w:pPr>
      <w:r>
        <w:rPr/>
        <w:t xml:space="preserve">Project records.</w:t>
      </w:r>
    </w:p>
    <w:p>
      <w:pPr>
        <w:pStyle w:val="Instructionsindent"/>
      </w:pPr>
      <w:r>
        <w:rPr/>
        <w:t xml:space="preserve">Work health and safety (WHS).</w:t>
      </w:r>
    </w:p>
    <w:p>
      <w:pPr>
        <w:pStyle w:val="Instructionsindent"/>
      </w:pPr>
      <w:r>
        <w:rPr/>
        <w:t xml:space="preserve">Referencing standard documents.</w:t>
      </w:r>
    </w:p>
    <w:p>
      <w:pPr>
        <w:pStyle w:val="Instructionsindent"/>
      </w:pPr>
      <w:r>
        <w:rPr/>
        <w:t xml:space="preserve">Safety in design.</w:t>
      </w:r>
    </w:p>
    <w:p>
      <w:pPr>
        <w:pStyle w:val="Instructionsindent"/>
      </w:pPr>
      <w:r>
        <w:rPr/>
        <w:t xml:space="preserve">Site surveys and survey types.</w:t>
      </w:r>
    </w:p>
    <w:p>
      <w:pPr>
        <w:pStyle w:val="Instructionsindent"/>
      </w:pPr>
      <w:r>
        <w:rPr/>
        <w:t xml:space="preserve">Statutory approvals.</w:t>
      </w:r>
    </w:p>
    <w:bookmarkEnd w:id="18"/>
    <w:bookmarkEnd w:id="17"/>
    <w:bookmarkStart w:name="f-85531" w:id="21"/>
    <w:bookmarkStart w:name="f-85531-content" w:id="22"/>
    <w:p>
      <w:pPr>
        <w:pStyle w:val="Heading2"/>
      </w:pPr>
      <w:bookmarkStart w:name="h-85531-content" w:id="23"/>
      <w:r>
        <w:rPr/>
        <w:t xml:space="preserve">General</w:t>
      </w:r>
      <w:bookmarkEnd w:id="23"/>
    </w:p>
    <w:bookmarkEnd w:id="22"/>
    <w:bookmarkEnd w:id="21"/>
    <w:bookmarkStart w:name="f-124570" w:id="24"/>
    <w:bookmarkStart w:name="f-124570-1" w:id="25"/>
    <w:p>
      <w:pPr>
        <w:pStyle w:val="Instructions"/>
      </w:pPr>
      <w:r>
        <w:rPr/>
        <w:t xml:space="preserve">For general material, essential to the use and interpretation of the NATSPEC technical worksections, see </w:t>
      </w:r>
      <w:r>
        <w:rPr>
          <w:i/>
        </w:rPr>
        <w:t xml:space="preserve">0171 General requirements</w:t>
      </w:r>
      <w:r>
        <w:rPr>
          <w:i/>
        </w:rPr>
        <w:t xml:space="preserve">.</w:t>
      </w:r>
    </w:p>
    <w:bookmarkEnd w:id="25"/>
    <w:bookmarkEnd w:id="24"/>
    <w:bookmarkStart w:name="f-2_85531" w:id="26"/>
    <w:bookmarkStart w:name="f-2_85531-content" w:id="27"/>
    <w:p>
      <w:pPr>
        <w:pStyle w:val="Heading3"/>
      </w:pPr>
      <w:bookmarkStart w:name="h-2_85531-content" w:id="28"/>
      <w:r>
        <w:rPr/>
        <w:t xml:space="preserve">General</w:t>
      </w:r>
      <w:bookmarkEnd w:id="28"/>
    </w:p>
    <w:bookmarkEnd w:id="27"/>
    <w:bookmarkEnd w:id="26"/>
    <w:bookmarkStart w:name="f-124593" w:id="29"/>
    <w:bookmarkStart w:name="f-124593-1" w:id="30"/>
    <w:p>
      <w:pPr>
        <w:pStyle w:val="Instructions"/>
      </w:pPr>
      <w:r>
        <w:rPr/>
        <w:t xml:space="preserve">See ABIC BW 2018 C Section A.</w:t>
      </w:r>
    </w:p>
    <w:bookmarkEnd w:id="30"/>
    <w:bookmarkEnd w:id="29"/>
    <w:bookmarkStart w:name="f-124602" w:id="31"/>
    <w:bookmarkStart w:name="f-124602-1" w:id="32"/>
    <w:p>
      <w:pPr>
        <w:pStyle w:val="Heading4"/>
      </w:pPr>
      <w:bookmarkStart w:name="h-124602-1" w:id="33"/>
      <w:r>
        <w:rPr/>
        <w:t xml:space="preserve">General conditions</w:t>
      </w:r>
      <w:bookmarkEnd w:id="33"/>
    </w:p>
    <w:p>
      <w:pPr>
        <w:pStyle w:val="Normal"/>
      </w:pPr>
      <w:r>
        <w:rPr/>
        <w:t xml:space="preserve">Contract: To ABIC BW 2018 C commercial basic works contract issued by the Australian Institute of Architects and Master Builders Australia.</w:t>
      </w:r>
    </w:p>
    <w:p>
      <w:pPr>
        <w:pStyle w:val="Instructions"/>
      </w:pPr>
      <w:r>
        <w:rPr/>
        <w:t xml:space="preserve">This reference properly belongs in </w:t>
      </w:r>
      <w:r>
        <w:rPr>
          <w:i/>
        </w:rPr>
        <w:t xml:space="preserve">0121 Tendering</w:t>
      </w:r>
      <w:r>
        <w:rPr/>
        <w:t xml:space="preserve">. Include here if </w:t>
      </w:r>
      <w:r>
        <w:rPr>
          <w:i/>
        </w:rPr>
        <w:t xml:space="preserve">0121 Tendering</w:t>
      </w:r>
      <w:r>
        <w:rPr/>
        <w:t xml:space="preserve"> is not used.</w:t>
      </w:r>
    </w:p>
    <w:p>
      <w:pPr>
        <w:pStyle w:val="Instructions"/>
      </w:pPr>
      <w:r>
        <w:rPr/>
        <w:t xml:space="preserve">The ABIC BW 2018 C contract includes pro-forma tender conditions which must be completed by and submitted by the contractor's tender. Clause B2 </w:t>
      </w:r>
      <w:r>
        <w:rPr>
          <w:i/>
        </w:rPr>
        <w:t xml:space="preserve">Order of precedence of contracts</w:t>
      </w:r>
      <w:r>
        <w:rPr/>
        <w:t xml:space="preserve"> lists the order of precedence of the contract documents but does not provide a schedule to list the documents. To make sure the specification has contractual force, identify the specification by title, date of issue and/or issue number in Item 6 of the contract.</w:t>
      </w:r>
    </w:p>
    <w:bookmarkEnd w:id="32"/>
    <w:bookmarkEnd w:id="31"/>
    <w:bookmarkStart w:name="f-124574" w:id="34"/>
    <w:bookmarkStart w:name="f-124574-1" w:id="35"/>
    <w:p>
      <w:pPr>
        <w:pStyle w:val="Heading4"/>
      </w:pPr>
      <w:bookmarkStart w:name="h-124574-1" w:id="36"/>
      <w:r>
        <w:rPr/>
        <w:t xml:space="preserve">Interpretation</w:t>
      </w:r>
      <w:bookmarkEnd w:id="36"/>
    </w:p>
    <w:p>
      <w:pPr>
        <w:pStyle w:val="Instructions"/>
      </w:pPr>
      <w:r>
        <w:rPr/>
        <w:t xml:space="preserve">See ABIC BW 2018 C, Section S.</w:t>
      </w:r>
    </w:p>
    <w:p>
      <w:pPr>
        <w:pStyle w:val="Normal"/>
      </w:pPr>
      <w:r>
        <w:rPr/>
        <w:t xml:space="preserve">General: The words principal, and contract administrator have the same meaning, respectively, as owner and architect unless the context requires otherwise.</w:t>
      </w:r>
    </w:p>
    <w:p>
      <w:pPr>
        <w:pStyle w:val="Instructions"/>
      </w:pPr>
      <w:r>
        <w:rPr/>
        <w:t xml:space="preserve">The ABIC BW 2018 C contract forms use the terms owner, architect, owner and contractor as does this worksection. However, NATSPEC technical worksections use the terms principal and contract administrator as these have more general application. If the terms owner and architect are used throughout the project specification (e.g. by global change to the NATSPEC worksections), this clause is unnecessary and should be deleted.</w:t>
      </w:r>
    </w:p>
    <w:p>
      <w:pPr>
        <w:pStyle w:val="Normal"/>
      </w:pPr>
      <w:r>
        <w:rPr/>
        <w:t xml:space="preserve">Cross reference: </w:t>
      </w:r>
      <w:r>
        <w:rPr>
          <w:rStyle w:val="DefaultParagraphFont"/>
          <w:b/>
        </w:rPr>
        <w:t xml:space="preserve">INTERPRETATION</w:t>
      </w:r>
      <w:r>
        <w:rPr/>
        <w:t xml:space="preserve"> in </w:t>
      </w:r>
      <w:r>
        <w:rPr>
          <w:i/>
        </w:rPr>
        <w:t xml:space="preserve">0171 General requirements</w:t>
      </w:r>
      <w:r>
        <w:rPr/>
        <w:t xml:space="preserve"> also applies.</w:t>
      </w:r>
    </w:p>
    <w:bookmarkEnd w:id="35"/>
    <w:bookmarkEnd w:id="34"/>
    <w:bookmarkStart w:name="f-77044" w:id="37"/>
    <w:bookmarkStart w:name="f-77044-content" w:id="38"/>
    <w:p>
      <w:pPr>
        <w:pStyle w:val="Heading3"/>
      </w:pPr>
      <w:bookmarkStart w:name="h-77044-content" w:id="39"/>
      <w:r>
        <w:rPr/>
        <w:t xml:space="preserve">The site</w:t>
      </w:r>
      <w:bookmarkEnd w:id="39"/>
    </w:p>
    <w:bookmarkEnd w:id="38"/>
    <w:bookmarkEnd w:id="37"/>
    <w:bookmarkStart w:name="f-124560" w:id="40"/>
    <w:bookmarkStart w:name="f-124560-1" w:id="41"/>
    <w:p>
      <w:pPr>
        <w:pStyle w:val="Instructions"/>
      </w:pPr>
      <w:r>
        <w:rPr/>
        <w:t xml:space="preserve">See ABIC BW 2018 C Section F.</w:t>
      </w:r>
    </w:p>
    <w:bookmarkEnd w:id="41"/>
    <w:bookmarkEnd w:id="40"/>
    <w:bookmarkStart w:name="f-124595" w:id="42"/>
    <w:bookmarkStart w:name="f-124595-1" w:id="43"/>
    <w:p>
      <w:pPr>
        <w:pStyle w:val="Heading4"/>
      </w:pPr>
      <w:bookmarkStart w:name="h-124595-1" w:id="44"/>
      <w:r>
        <w:rPr/>
        <w:t xml:space="preserve">Site restrictions</w:t>
      </w:r>
      <w:bookmarkEnd w:id="44"/>
    </w:p>
    <w:p>
      <w:pPr>
        <w:pStyle w:val="Instructions"/>
      </w:pPr>
      <w:r>
        <w:rPr/>
        <w:t xml:space="preserve">You may need to consider and document the following:</w:t>
      </w:r>
    </w:p>
    <w:p>
      <w:pPr>
        <w:pStyle w:val="Instructionsindent"/>
      </w:pPr>
      <w:r>
        <w:rPr/>
        <w:t xml:space="preserve">Jackhammer and compressor silencing: See AS 2436, on construction site noise control.</w:t>
      </w:r>
    </w:p>
    <w:p>
      <w:pPr>
        <w:pStyle w:val="Instructionsindent"/>
      </w:pPr>
      <w:r>
        <w:rPr/>
        <w:t xml:space="preserve">Waste management: Proposals may be sought from the contractor. However, toxic waste disposal may need to be specified. Waste minimisation is in the owner’s interest, providing the savings in cost and time are passed on.</w:t>
      </w:r>
    </w:p>
    <w:p>
      <w:pPr>
        <w:pStyle w:val="Instructionsindent"/>
      </w:pPr>
      <w:r>
        <w:rPr/>
        <w:t xml:space="preserve">Fumes.</w:t>
      </w:r>
    </w:p>
    <w:p>
      <w:pPr>
        <w:pStyle w:val="Instructionsindent"/>
      </w:pPr>
      <w:r>
        <w:rPr/>
        <w:t xml:space="preserve">Fauna.</w:t>
      </w:r>
    </w:p>
    <w:p>
      <w:pPr>
        <w:pStyle w:val="Instructionsindent"/>
      </w:pPr>
      <w:r>
        <w:rPr/>
        <w:t xml:space="preserve">Fire protection.</w:t>
      </w:r>
    </w:p>
    <w:p>
      <w:pPr>
        <w:pStyle w:val="Instructionsindent"/>
      </w:pPr>
      <w:r>
        <w:rPr/>
        <w:t xml:space="preserve">Erosion control.</w:t>
      </w:r>
    </w:p>
    <w:p>
      <w:pPr>
        <w:pStyle w:val="Instructionsindent"/>
      </w:pPr>
      <w:r>
        <w:rPr/>
        <w:t xml:space="preserve">Smoke.</w:t>
      </w:r>
    </w:p>
    <w:p>
      <w:pPr>
        <w:pStyle w:val="Instructionsindent"/>
      </w:pPr>
      <w:r>
        <w:rPr/>
        <w:t xml:space="preserve">Disposal of contaminants, particularly solvents and cement runoff.</w:t>
      </w:r>
    </w:p>
    <w:p>
      <w:pPr>
        <w:pStyle w:val="Instructionsindent"/>
      </w:pPr>
      <w:r>
        <w:rPr/>
        <w:t xml:space="preserve">Disposal of waste, including food scraps and site waste.</w:t>
      </w:r>
    </w:p>
    <w:p>
      <w:pPr>
        <w:pStyle w:val="Instructionsindent"/>
      </w:pPr>
      <w:r>
        <w:rPr/>
        <w:t xml:space="preserve">Cleaning of trucks before leaving the site (e.g. if the site is infested with dieback).</w:t>
      </w:r>
    </w:p>
    <w:p>
      <w:pPr>
        <w:pStyle w:val="Instructions"/>
      </w:pPr>
      <w:r>
        <w:rPr/>
        <w:t xml:space="preserve">Further to the owner's obligation to give site information to the contractor, the owner may also need to warrant that there is no toxic waste or asbestos on site, for example.</w:t>
      </w:r>
    </w:p>
    <w:p>
      <w:pPr>
        <w:pStyle w:val="Prompt"/>
      </w:pPr>
      <w:r>
        <w:rPr/>
        <w:t xml:space="preserve">Site limitations: Comply with the following restrictions on the use of the site: </w:t>
      </w:r>
      <w:r>
        <w:fldChar w:fldCharType="begin"/>
        <w:instrText xml:space="preserve"> MACROBUTTON  ac_OnHelp [complete/delete]</w:instrText>
        <w:fldChar w:fldCharType="separate"/>
        <w:t xml:space="preserve"> </w:t>
        <w:fldChar w:fldCharType="end"/>
      </w:r>
    </w:p>
    <w:p>
      <w:pPr>
        <w:pStyle w:val="Instructions"/>
      </w:pPr>
      <w:r>
        <w:rPr/>
        <w:t xml:space="preserve">Jackhammer and compressor silencing may need to be stipulated, for example.</w:t>
      </w:r>
    </w:p>
    <w:p>
      <w:pPr>
        <w:pStyle w:val="Instructions"/>
      </w:pPr>
      <w:r>
        <w:rPr/>
        <w:t xml:space="preserve">If not shown on the drawings, give details of easements, restrictions arising out of the actions of adjoining land owners, limitations related to continued occupancy by the owner, toxic ground conditions and the like, including maximum noise levels and hours of work not covered by local authority conditions in the </w:t>
      </w:r>
      <w:r>
        <w:rPr>
          <w:b/>
        </w:rPr>
        <w:t xml:space="preserve">Authority conditions schedule</w:t>
      </w:r>
      <w:r>
        <w:rPr/>
        <w:t xml:space="preserve">.</w:t>
      </w:r>
    </w:p>
    <w:p>
      <w:pPr>
        <w:pStyle w:val="Prompt"/>
      </w:pPr>
      <w:r>
        <w:rPr/>
        <w:t xml:space="preserve">Access: Access on to and within the site, use of the site for temporary works and constructional plant, including working and storage areas, location of offices, workshops, sheds, roads and parking, is restricted to the following areas: </w:t>
      </w:r>
      <w:r>
        <w:fldChar w:fldCharType="begin"/>
        <w:instrText xml:space="preserve"> MACROBUTTON  ac_OnHelp [complete/delete]</w:instrText>
        <w:fldChar w:fldCharType="separate"/>
        <w:t xml:space="preserve"> </w:t>
        <w:fldChar w:fldCharType="end"/>
      </w:r>
    </w:p>
    <w:p>
      <w:pPr>
        <w:pStyle w:val="Instructions"/>
      </w:pPr>
      <w:r>
        <w:rPr/>
        <w:t xml:space="preserve">e.g. Shown on drawing A001, To be determined.</w:t>
      </w:r>
    </w:p>
    <w:bookmarkEnd w:id="43"/>
    <w:bookmarkEnd w:id="42"/>
    <w:bookmarkStart w:name="f-124578" w:id="45"/>
    <w:bookmarkStart w:name="f-124578-1" w:id="46"/>
    <w:p>
      <w:pPr>
        <w:pStyle w:val="Heading4"/>
      </w:pPr>
      <w:bookmarkStart w:name="h-124578-1" w:id="47"/>
      <w:r>
        <w:rPr/>
        <w:t xml:space="preserve">Occupied premises</w:t>
      </w:r>
      <w:bookmarkEnd w:id="47"/>
    </w:p>
    <w:p>
      <w:pPr>
        <w:pStyle w:val="Instructions"/>
      </w:pPr>
      <w:r>
        <w:rPr/>
        <w:t xml:space="preserve">See ABIC BW 2018 C clause F1 and F2 on possession of and access to the site.</w:t>
      </w:r>
    </w:p>
    <w:p>
      <w:pPr>
        <w:pStyle w:val="Normal"/>
      </w:pPr>
      <w:r>
        <w:rPr/>
        <w:t xml:space="preserve">General: For the parts of the site designated as occupied premises in the </w:t>
      </w:r>
      <w:hyperlink w:anchor="f-124589" w:history="1">
        <w:r>
          <w:rPr>
            <w:rStyle w:val="DefaultParagraphFont"/>
            <w:b/>
          </w:rPr>
          <w:t>Occupied premises schedule</w:t>
        </w:r>
      </w:hyperlink>
      <w:r>
        <w:rPr/>
        <w:t xml:space="preserve">:</w:t>
      </w:r>
    </w:p>
    <w:p>
      <w:pPr>
        <w:pStyle w:val="NormalIndent"/>
      </w:pPr>
      <w:r>
        <w:rPr/>
        <w:t xml:space="preserve">Allow occupants to continue in secure possession and occupancy of the premises for the required period.</w:t>
      </w:r>
    </w:p>
    <w:p>
      <w:pPr>
        <w:pStyle w:val="NormalIndent"/>
      </w:pPr>
      <w:r>
        <w:rPr/>
        <w:t xml:space="preserve">Maintain safe access for occupants.</w:t>
      </w:r>
    </w:p>
    <w:p>
      <w:pPr>
        <w:pStyle w:val="NormalIndent"/>
      </w:pPr>
      <w:r>
        <w:rPr/>
        <w:t xml:space="preserve">Arrange work to minimise nuisance to occupants and for their safety.</w:t>
      </w:r>
    </w:p>
    <w:p>
      <w:pPr>
        <w:pStyle w:val="NormalIndent"/>
      </w:pPr>
      <w:r>
        <w:rPr/>
        <w:t xml:space="preserve">Protect occupants against weather, dust, dirt, water or other nuisance.</w:t>
      </w:r>
    </w:p>
    <w:p>
      <w:pPr>
        <w:pStyle w:val="Normal"/>
      </w:pPr>
      <w:r>
        <w:rPr/>
        <w:t xml:space="preserve">Proposals: Submit details of proposed methods.</w:t>
      </w:r>
    </w:p>
    <w:p>
      <w:pPr>
        <w:pStyle w:val="NormalIndent"/>
      </w:pPr>
      <w:r>
        <w:rPr/>
        <w:t xml:space="preserve">Purpose of submission: Information only.</w:t>
      </w:r>
    </w:p>
    <w:bookmarkEnd w:id="46"/>
    <w:bookmarkEnd w:id="45"/>
    <w:bookmarkStart w:name="f-124589" w:id="48"/>
    <w:bookmarkStart w:name="f-124589-1" w:id="49"/>
    <w:p>
      <w:pPr>
        <w:pStyle w:val="Heading4"/>
      </w:pPr>
      <w:bookmarkStart w:name="h-124589-1" w:id="50"/>
      <w:r>
        <w:rPr/>
        <w:t xml:space="preserve">Occupied premises schedule</w:t>
      </w:r>
      <w:bookmarkEnd w:id="50"/>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Occupants</w:t>
            </w:r>
          </w:p>
        </w:tc>
        <w:tc>
          <w:tcPr>
            <w:tcW w:w="3333" w:type="dxa"/>
          </w:tcPr>
          <w:p>
            <w:pPr>
              <w:pStyle w:val="Tabletitle"/>
            </w:pPr>
            <w:r>
              <w:rPr/>
              <w:t xml:space="preserve">Occupied premises</w:t>
            </w:r>
          </w:p>
        </w:tc>
        <w:tc>
          <w:tcPr>
            <w:tcW w:w="3333" w:type="dxa"/>
          </w:tcPr>
          <w:p>
            <w:pPr>
              <w:pStyle w:val="Tabletitle"/>
            </w:pPr>
            <w:r>
              <w:rPr/>
              <w:t xml:space="preserve">Period of occupancy</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ABIC BW 2018 C assumes that the works will be occupied during construction. Complete the schedule to indicate which parts of the premises will be occupied by the owner or occupants authorised by the owner.</w:t>
      </w:r>
    </w:p>
    <w:p>
      <w:pPr>
        <w:pStyle w:val="Instructions"/>
      </w:pPr>
      <w:r>
        <w:rPr/>
        <w:t xml:space="preserve">Occupants: e.g. The owner, The owner's department, The public, or name other persons or organisations.</w:t>
      </w:r>
    </w:p>
    <w:p>
      <w:pPr>
        <w:pStyle w:val="Instructions"/>
      </w:pPr>
      <w:r>
        <w:rPr/>
        <w:t xml:space="preserve">Occupied premises: Describe, or refer to marked areas on the drawings.</w:t>
      </w:r>
    </w:p>
    <w:p>
      <w:pPr>
        <w:pStyle w:val="Instructions"/>
      </w:pPr>
      <w:r>
        <w:rPr/>
        <w:t xml:space="preserve">Period of occupancy: e.g. Duration of the contract.</w:t>
      </w:r>
    </w:p>
    <w:bookmarkEnd w:id="49"/>
    <w:bookmarkEnd w:id="48"/>
    <w:bookmarkStart w:name="f-124597" w:id="51"/>
    <w:bookmarkStart w:name="f-124597-1" w:id="52"/>
    <w:p>
      <w:pPr>
        <w:pStyle w:val="Heading4"/>
      </w:pPr>
      <w:bookmarkStart w:name="h-124597-1" w:id="53"/>
      <w:r>
        <w:rPr/>
        <w:t xml:space="preserve">Protection of persons and property</w:t>
      </w:r>
      <w:bookmarkEnd w:id="53"/>
    </w:p>
    <w:p>
      <w:pPr>
        <w:pStyle w:val="Normal"/>
      </w:pPr>
      <w:r>
        <w:rPr/>
        <w:t xml:space="preserve">Temporary works: Provide and maintain required barricades, guards, fencing, shoring, temporary roadways, footpaths, signs, lighting and traffic management.</w:t>
      </w:r>
    </w:p>
    <w:p>
      <w:pPr>
        <w:pStyle w:val="Instructions"/>
      </w:pPr>
      <w:r>
        <w:rPr/>
        <w:t xml:space="preserve">Edit to complement local authority requirements scheduled in </w:t>
      </w:r>
      <w:hyperlink w:anchor="f-86087" w:history="1">
        <w:r>
          <w:rPr>
            <w:rStyle w:val="DefaultParagraphFont"/>
            <w:b/>
          </w:rPr>
          <w:t>MISCELLANEOUS</w:t>
        </w:r>
      </w:hyperlink>
      <w:r>
        <w:rPr/>
        <w:t xml:space="preserve">, </w:t>
      </w:r>
      <w:hyperlink w:anchor="f-124563" w:history="1">
        <w:r>
          <w:rPr>
            <w:rStyle w:val="DefaultParagraphFont"/>
            <w:b/>
          </w:rPr>
          <w:t>Authority conditions schedule</w:t>
        </w:r>
      </w:hyperlink>
      <w:r>
        <w:rPr/>
        <w:t xml:space="preserve">. This paragraph should describe the owner’s requirements only. The responsibility for these items is usually the contractor’s.</w:t>
      </w:r>
    </w:p>
    <w:p>
      <w:pPr>
        <w:pStyle w:val="Normal"/>
      </w:pPr>
      <w:r>
        <w:rPr/>
        <w:t xml:space="preserve">Accessways, services: Do not obstruct or damage roadways and footpaths, drains and watercourses and other existing services in use on or adjacent to the site. Determine the location of such services.</w:t>
      </w:r>
    </w:p>
    <w:p>
      <w:pPr>
        <w:pStyle w:val="Instructions"/>
      </w:pPr>
      <w:r>
        <w:rPr/>
        <w:t xml:space="preserve">Delete if documented in the </w:t>
      </w:r>
      <w:hyperlink w:anchor="f-124563" w:history="1">
        <w:r>
          <w:rPr>
            <w:rStyle w:val="DefaultParagraphFont"/>
            <w:b/>
          </w:rPr>
          <w:t>Authority conditions schedule</w:t>
        </w:r>
      </w:hyperlink>
      <w:r>
        <w:rPr>
          <w:b/>
        </w:rPr>
        <w:t xml:space="preserve">.</w:t>
      </w:r>
    </w:p>
    <w:p>
      <w:pPr>
        <w:pStyle w:val="Normal"/>
      </w:pPr>
      <w:r>
        <w:rPr/>
        <w:t xml:space="preserve">Property: Do not interfere with or damage trees and property which are to remain on or adjacent to the site, including adjoining property encroaching onto the site.</w:t>
      </w:r>
    </w:p>
    <w:bookmarkEnd w:id="52"/>
    <w:bookmarkEnd w:id="51"/>
    <w:bookmarkStart w:name="f-124573" w:id="54"/>
    <w:bookmarkStart w:name="f-124573-1" w:id="55"/>
    <w:p>
      <w:pPr>
        <w:pStyle w:val="Heading4"/>
      </w:pPr>
      <w:bookmarkStart w:name="h-124573-1" w:id="56"/>
      <w:r>
        <w:rPr/>
        <w:t xml:space="preserve">Rectification</w:t>
      </w:r>
      <w:bookmarkEnd w:id="56"/>
    </w:p>
    <w:p>
      <w:pPr>
        <w:pStyle w:val="Normal"/>
      </w:pPr>
      <w:r>
        <w:rPr/>
        <w:t xml:space="preserve">Accessways, services: Rectify immediately any obstruction or damage to roadways and footpaths, drains and watercourses and other existing services in use on or adjacent to the site. Provide temporary services whilst repairs are carried out.</w:t>
      </w:r>
    </w:p>
    <w:p>
      <w:pPr>
        <w:pStyle w:val="Normal"/>
      </w:pPr>
      <w:r>
        <w:rPr/>
        <w:t xml:space="preserve">Property: Rectify immediately any interference or damage to trees and property which are to remain on or adjacent to the site, including adjoining property encroaching onto the site.</w:t>
      </w:r>
    </w:p>
    <w:bookmarkEnd w:id="55"/>
    <w:bookmarkEnd w:id="54"/>
    <w:bookmarkStart w:name="f-126094" w:id="57"/>
    <w:bookmarkStart w:name="f-126094-1" w:id="58"/>
    <w:p>
      <w:pPr>
        <w:pStyle w:val="Heading4"/>
      </w:pPr>
      <w:bookmarkStart w:name="h-126094-1" w:id="59"/>
      <w:r>
        <w:rPr/>
        <w:t xml:space="preserve">Existing services</w:t>
      </w:r>
      <w:bookmarkEnd w:id="59"/>
    </w:p>
    <w:bookmarkEnd w:id="58"/>
    <w:bookmarkStart w:name="f-126094-8" w:id="60"/>
    <w:p>
      <w:pPr>
        <w:pStyle w:val="Normal"/>
      </w:pPr>
      <w:r>
        <w:rPr/>
        <w:t xml:space="preserve">Service to be continued: Repair, divert or relocate service, as documented.</w:t>
      </w:r>
    </w:p>
    <w:bookmarkEnd w:id="60"/>
    <w:bookmarkStart w:name="f-126094-7" w:id="61"/>
    <w:p>
      <w:pPr>
        <w:pStyle w:val="Normal"/>
      </w:pPr>
      <w:r>
        <w:rPr/>
        <w:t xml:space="preserve">Trenches: If the existing service crosses the line of a required trench or will lose support when the trench is excavated, provide permanent support for the existing service.</w:t>
      </w:r>
    </w:p>
    <w:bookmarkEnd w:id="61"/>
    <w:bookmarkStart w:name="f-126094-6" w:id="62"/>
    <w:p>
      <w:pPr>
        <w:pStyle w:val="Normal"/>
      </w:pPr>
      <w:r>
        <w:rPr/>
        <w:t xml:space="preserve">Redundant services: Remove redundant parts and make safe.</w:t>
      </w:r>
    </w:p>
    <w:bookmarkEnd w:id="62"/>
    <w:bookmarkStart w:name="f-126094-5" w:id="63"/>
    <w:p>
      <w:pPr>
        <w:pStyle w:val="Normal"/>
      </w:pPr>
      <w:r>
        <w:rPr/>
        <w:t xml:space="preserve">Interruptions to services: Minimise the number and duration of interruptions.</w:t>
      </w:r>
    </w:p>
    <w:bookmarkEnd w:id="63"/>
    <w:bookmarkStart w:name="f-126094-4" w:id="64"/>
    <w:p>
      <w:pPr>
        <w:pStyle w:val="Normal"/>
      </w:pPr>
      <w:r>
        <w:rPr/>
        <w:t xml:space="preserve">Proposals: Submit proposals for action to be taken to existing services before starting this work.</w:t>
      </w:r>
    </w:p>
    <w:bookmarkEnd w:id="64"/>
    <w:bookmarkStart w:name="f-126094-3" w:id="65"/>
    <w:p>
      <w:pPr>
        <w:pStyle w:val="NormalIndent"/>
      </w:pPr>
      <w:r>
        <w:rPr/>
        <w:t xml:space="preserve">Purpose of submission: For review.</w:t>
      </w:r>
    </w:p>
    <w:bookmarkEnd w:id="65"/>
    <w:bookmarkEnd w:id="57"/>
    <w:bookmarkStart w:name="f-124568" w:id="66"/>
    <w:bookmarkStart w:name="f-124568-1" w:id="67"/>
    <w:p>
      <w:pPr>
        <w:pStyle w:val="Heading4"/>
      </w:pPr>
      <w:bookmarkStart w:name="h-124568-1" w:id="68"/>
      <w:r>
        <w:rPr/>
        <w:t xml:space="preserve">Adjoining property</w:t>
      </w:r>
      <w:bookmarkEnd w:id="68"/>
    </w:p>
    <w:p>
      <w:pPr>
        <w:pStyle w:val="Normal"/>
      </w:pPr>
      <w:r>
        <w:rPr/>
        <w:t xml:space="preserve">Notice: At least 10 working days before commencing work, submit to owners and occupants of adjoining property written notice of intention to commence work and an outline description of the type and extent of work.</w:t>
      </w:r>
    </w:p>
    <w:p>
      <w:pPr>
        <w:pStyle w:val="Prompt"/>
      </w:pPr>
      <w:r>
        <w:rPr/>
        <w:t xml:space="preserve">Conditions for work on adjoining property: </w:t>
      </w:r>
      <w:r>
        <w:fldChar w:fldCharType="begin"/>
        <w:instrText xml:space="preserve"> MACROBUTTON  ac_OnHelp [complete/delete]</w:instrText>
        <w:fldChar w:fldCharType="separate"/>
        <w:t xml:space="preserve"> </w:t>
        <w:fldChar w:fldCharType="end"/>
      </w:r>
    </w:p>
    <w:p>
      <w:pPr>
        <w:pStyle w:val="Instructions"/>
      </w:pPr>
      <w:r>
        <w:rPr/>
        <w:t xml:space="preserve">The owner is responsible for obtaining permission from adjoining owners, including for work such as swinging crane jibs, erection of scaffolding and construction of formwork. Describe any conditions that may have been agreed to by the owner.</w:t>
      </w:r>
    </w:p>
    <w:p>
      <w:pPr>
        <w:pStyle w:val="Normal"/>
      </w:pPr>
      <w:r>
        <w:rPr/>
        <w:t xml:space="preserve">Revealed encroachments: If the works reveal unknown encroachments of adjoining property on to the site or of existing site structures on to adjoining property, immediately seek instructions.</w:t>
      </w:r>
    </w:p>
    <w:p>
      <w:pPr>
        <w:pStyle w:val="Normal"/>
      </w:pPr>
      <w:r>
        <w:rPr/>
        <w:t xml:space="preserve">Records: For each property described in the </w:t>
      </w:r>
      <w:hyperlink w:anchor="f-124553" w:history="1">
        <w:r>
          <w:rPr>
            <w:rStyle w:val="DefaultParagraphFont"/>
            <w:b/>
          </w:rPr>
          <w:t>Adjoining properties to be recorded schedule</w:t>
        </w:r>
      </w:hyperlink>
      <w:r>
        <w:rPr/>
        <w:t xml:space="preserve">:</w:t>
      </w:r>
    </w:p>
    <w:p>
      <w:pPr>
        <w:pStyle w:val="NormalIndent"/>
      </w:pPr>
      <w:r>
        <w:rPr/>
        <w:t xml:space="preserve">Inspect the property with the architect and owner and occupant of the property, before commencement of work.</w:t>
      </w:r>
    </w:p>
    <w:p>
      <w:pPr>
        <w:pStyle w:val="NormalIndent"/>
      </w:pPr>
      <w:r>
        <w:rPr/>
        <w:t xml:space="preserve">Make detailed records of conditions existing within the property, especially structural defects and other damage or defacement.</w:t>
      </w:r>
    </w:p>
    <w:p>
      <w:pPr>
        <w:pStyle w:val="NormalIndent"/>
      </w:pPr>
      <w:r>
        <w:rPr/>
        <w:t xml:space="preserve">Arrange for at least 2 copies of each record, including drawings, written descriptions, and photographs, endorsed by the owner and occupant of the property, or their representatives, as evidence of conditions existing before commencement of work.</w:t>
      </w:r>
    </w:p>
    <w:p>
      <w:pPr>
        <w:pStyle w:val="Normal"/>
      </w:pPr>
      <w:r>
        <w:rPr/>
        <w:t xml:space="preserve">Endorsed copies: Submit one endorsed copy of each record. Keep the other endorsed copy on site.</w:t>
      </w:r>
    </w:p>
    <w:p>
      <w:pPr>
        <w:pStyle w:val="NormalIndent"/>
      </w:pPr>
      <w:r>
        <w:rPr/>
        <w:t xml:space="preserve">Purpose of submission: Information only.</w:t>
      </w:r>
    </w:p>
    <w:bookmarkEnd w:id="67"/>
    <w:bookmarkEnd w:id="66"/>
    <w:bookmarkStart w:name="f-124553" w:id="69"/>
    <w:bookmarkStart w:name="f-124553-1" w:id="70"/>
    <w:p>
      <w:pPr>
        <w:pStyle w:val="Heading4"/>
      </w:pPr>
      <w:bookmarkStart w:name="h-124553-1" w:id="71"/>
      <w:r>
        <w:rPr/>
        <w:t xml:space="preserve">Adjoining properties to be recorded schedule</w:t>
      </w:r>
      <w:bookmarkEnd w:id="71"/>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Title</w:t>
            </w:r>
          </w:p>
        </w:tc>
        <w:tc>
          <w:tcPr>
            <w:tcW w:w="3333" w:type="dxa"/>
          </w:tcPr>
          <w:p>
            <w:pPr>
              <w:pStyle w:val="Tabletitle"/>
            </w:pPr>
            <w:r>
              <w:rPr/>
              <w:t xml:space="preserve">Owner</w:t>
            </w:r>
          </w:p>
        </w:tc>
        <w:tc>
          <w:tcPr>
            <w:tcW w:w="3333" w:type="dxa"/>
          </w:tcPr>
          <w:p>
            <w:pPr>
              <w:pStyle w:val="Tabletitle"/>
            </w:pPr>
            <w:r>
              <w:rPr/>
              <w:t xml:space="preserve">Description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Complete the schedule if there is danger of damage to adjoining property, including the owner's property, and if precautionary inspections and records need to be made.</w:t>
      </w:r>
    </w:p>
    <w:bookmarkEnd w:id="70"/>
    <w:bookmarkEnd w:id="69"/>
    <w:bookmarkStart w:name="f-85175" w:id="72"/>
    <w:bookmarkStart w:name="f-85175-content" w:id="73"/>
    <w:p>
      <w:pPr>
        <w:pStyle w:val="Heading3"/>
      </w:pPr>
      <w:bookmarkStart w:name="h-85175-content" w:id="74"/>
      <w:r>
        <w:rPr/>
        <w:t xml:space="preserve">Construction plant</w:t>
      </w:r>
      <w:bookmarkEnd w:id="74"/>
    </w:p>
    <w:bookmarkEnd w:id="73"/>
    <w:bookmarkEnd w:id="72"/>
    <w:bookmarkStart w:name="f-124566" w:id="75"/>
    <w:bookmarkStart w:name="f-124566-1" w:id="76"/>
    <w:p>
      <w:pPr>
        <w:pStyle w:val="Heading4"/>
      </w:pPr>
      <w:bookmarkStart w:name="h-124566-1" w:id="77"/>
      <w:r>
        <w:rPr/>
        <w:t xml:space="preserve">Use of existing services</w:t>
      </w:r>
      <w:bookmarkEnd w:id="77"/>
    </w:p>
    <w:p>
      <w:pPr>
        <w:pStyle w:val="Normal"/>
      </w:pPr>
      <w:r>
        <w:rPr/>
        <w:t xml:space="preserve">General: Existing services may be used as temporary services for the performance of the contract subject to conditions of use, as documented in the </w:t>
      </w:r>
      <w:hyperlink w:anchor="f-124585" w:history="1">
        <w:r>
          <w:rPr>
            <w:rStyle w:val="DefaultParagraphFont"/>
            <w:b/>
          </w:rPr>
          <w:t>Existing services schedule</w:t>
        </w:r>
      </w:hyperlink>
      <w:r>
        <w:rPr/>
        <w:t xml:space="preserve">.</w:t>
      </w:r>
    </w:p>
    <w:bookmarkEnd w:id="76"/>
    <w:bookmarkEnd w:id="75"/>
    <w:bookmarkStart w:name="f-124585" w:id="78"/>
    <w:bookmarkStart w:name="f-124585-1" w:id="79"/>
    <w:p>
      <w:pPr>
        <w:pStyle w:val="Heading4"/>
      </w:pPr>
      <w:bookmarkStart w:name="h-124585-1" w:id="80"/>
      <w:r>
        <w:rPr/>
        <w:t xml:space="preserve">Existing services schedule</w:t>
      </w:r>
      <w:bookmarkEnd w:id="80"/>
    </w:p>
    <w:tbl>
      <w:tblGrid>
        <w:gridCol w:w="5000"/>
        <w:gridCol w:w="5000"/>
      </w:tblGrid>
      <w:tblPr>
        <w:tblStyle w:val="NATSPECTable"/>
        <w:tblW w:w="5000" w:type="pct"/>
        <w:tblLook w:val="05E0" w:firstRow="0" w:lastRow="0" w:firstColumn="0" w:lastColumn="0"/>
      </w:tblPr>
      <w:tr>
        <w:trPr>
          <w:tblHeader/>
        </w:trPr>
        <w:tc>
          <w:tcPr>
            <w:tcW w:w="5000" w:type="dxa"/>
          </w:tcPr>
          <w:p>
            <w:pPr>
              <w:pStyle w:val="Tabletitle"/>
            </w:pPr>
            <w:r>
              <w:rPr/>
              <w:t xml:space="preserve">Service</w:t>
            </w:r>
          </w:p>
        </w:tc>
        <w:tc>
          <w:tcPr>
            <w:tcW w:w="5000" w:type="dxa"/>
          </w:tcPr>
          <w:p>
            <w:pPr>
              <w:pStyle w:val="Tabletitle"/>
            </w:pPr>
            <w:r>
              <w:rPr/>
              <w:t xml:space="preserve">Conditions of use</w:t>
            </w:r>
          </w:p>
        </w:tc>
      </w:tr>
      <w:tr>
        <w:tc>
          <w:tcPr>
            <w:tcW w:w="5000" w:type="dxa"/>
          </w:tcPr>
          <w:p/>
        </w:tc>
        <w:tc>
          <w:tcPr>
            <w:tcW w:w="5000" w:type="dxa"/>
          </w:tcPr>
          <w:p/>
        </w:tc>
      </w:tr>
      <w:tr>
        <w:tc>
          <w:tcPr>
            <w:tcW w:w="5000" w:type="dxa"/>
          </w:tcPr>
          <w:p/>
        </w:tc>
        <w:tc>
          <w:tcPr>
            <w:tcW w:w="5000" w:type="dxa"/>
          </w:tcPr>
          <w:p/>
        </w:tc>
      </w:tr>
      <w:tr>
        <w:tc>
          <w:tcPr>
            <w:tcW w:w="5000" w:type="dxa"/>
          </w:tcPr>
          <w:p/>
        </w:tc>
        <w:tc>
          <w:tcPr>
            <w:tcW w:w="5000" w:type="dxa"/>
          </w:tcPr>
          <w:p/>
        </w:tc>
      </w:tr>
    </w:tbl>
    <w:p>
      <w:pPr>
        <w:pStyle w:val="Normal"/>
      </w:pPr>
      <w:r>
        <w:rPr/>
        <w:t xml:space="preserve"> </w:t>
      </w:r>
    </w:p>
    <w:p>
      <w:pPr>
        <w:pStyle w:val="Instructions"/>
      </w:pPr>
      <w:r>
        <w:rPr/>
        <w:t xml:space="preserve">If existing services, including telephones or permanent building lighting, may be used for contract purposes, list them here and state any conditions applying to their use, e.g. The existing water service on the site, at no charge, Do not disrupt continuous service to owner, Pay for connections, Provide separate metering and reimburse owner, Fully maintain the service. You may wish to clarify the situation after practical completion i.e. the owner is not liable for services, water, fuel used by the contractor after this point.</w:t>
      </w:r>
    </w:p>
    <w:bookmarkEnd w:id="79"/>
    <w:bookmarkEnd w:id="78"/>
    <w:bookmarkStart w:name="f-124596" w:id="81"/>
    <w:bookmarkStart w:name="f-124596-1" w:id="82"/>
    <w:p>
      <w:pPr>
        <w:pStyle w:val="Heading4"/>
      </w:pPr>
      <w:bookmarkStart w:name="h-124596-1" w:id="83"/>
      <w:r>
        <w:rPr/>
        <w:t xml:space="preserve">Temporary services</w:t>
      </w:r>
      <w:bookmarkEnd w:id="83"/>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Temporary services are generally the business of the contractor. If it is necessary to specify particular requirements, do so here, e.g. temporary services for owner's facilities if construction activities interfere, power for testing, temporary distribution boards, special lighting requirements, water for testing, metering and payments for services.</w:t>
      </w:r>
    </w:p>
    <w:bookmarkEnd w:id="82"/>
    <w:bookmarkEnd w:id="81"/>
    <w:bookmarkStart w:name="f-126080" w:id="84"/>
    <w:bookmarkStart w:name="f-126080-1" w:id="85"/>
    <w:p>
      <w:pPr>
        <w:pStyle w:val="Heading4"/>
      </w:pPr>
      <w:bookmarkStart w:name="h-126080-1" w:id="86"/>
      <w:r>
        <w:rPr/>
        <w:t xml:space="preserve">Project signboards</w:t>
      </w:r>
      <w:bookmarkEnd w:id="86"/>
    </w:p>
    <w:p>
      <w:pPr>
        <w:pStyle w:val="Normal"/>
      </w:pPr>
      <w:r>
        <w:rPr/>
        <w:t xml:space="preserve">General: Provide project-specific signboards and as follows:</w:t>
      </w:r>
    </w:p>
    <w:p>
      <w:pPr>
        <w:pStyle w:val="NormalIndent"/>
      </w:pPr>
      <w:r>
        <w:rPr/>
        <w:t xml:space="preserve">Locate where directed.</w:t>
      </w:r>
    </w:p>
    <w:p>
      <w:pPr>
        <w:pStyle w:val="NormalIndent"/>
      </w:pPr>
      <w:r>
        <w:rPr/>
        <w:t xml:space="preserve">Maintain in good condition for duration of the work.</w:t>
      </w:r>
    </w:p>
    <w:p>
      <w:pPr>
        <w:pStyle w:val="NormalIndent"/>
      </w:pPr>
      <w:r>
        <w:rPr/>
        <w:t xml:space="preserve">Obtain permission for removal.</w:t>
      </w:r>
    </w:p>
    <w:p>
      <w:pPr>
        <w:pStyle w:val="NormalIndent"/>
      </w:pPr>
      <w:r>
        <w:rPr/>
        <w:t xml:space="preserve">Remove on completion.</w:t>
      </w:r>
    </w:p>
    <w:p>
      <w:pPr>
        <w:pStyle w:val="Instructions"/>
      </w:pPr>
      <w:r>
        <w:rPr/>
        <w:t xml:space="preserve">If additional signboards and advertising material are requested, note that approval is required from the owner and authorities.</w:t>
      </w:r>
    </w:p>
    <w:bookmarkEnd w:id="85"/>
    <w:bookmarkEnd w:id="84"/>
    <w:bookmarkStart w:name="f-126065" w:id="87"/>
    <w:bookmarkStart w:name="f-126065-1" w:id="88"/>
    <w:p>
      <w:pPr>
        <w:pStyle w:val="Heading4"/>
      </w:pPr>
      <w:bookmarkStart w:name="h-126065-1" w:id="89"/>
      <w:r>
        <w:rPr/>
        <w:t xml:space="preserve">Project signboard description</w:t>
      </w:r>
      <w:bookmarkEnd w:id="89"/>
    </w:p>
    <w:p>
      <w:pPr>
        <w:pStyle w:val="Instructions"/>
      </w:pPr>
      <w:r>
        <w:rPr/>
        <w:t xml:space="preserve">Best shown on the drawings. Components may be provided by the architect – modify as required.</w:t>
      </w:r>
    </w:p>
    <w:p>
      <w:pPr>
        <w:pStyle w:val="Prompt"/>
      </w:pPr>
      <w:r>
        <w:rPr/>
        <w:t xml:space="preserve">Location: </w:t>
      </w:r>
      <w:r>
        <w:fldChar w:fldCharType="begin"/>
        <w:instrText xml:space="preserve"> MACROBUTTON  ac_OnHelp [complete/delete]</w:instrText>
        <w:fldChar w:fldCharType="separate"/>
        <w:t xml:space="preserve"> </w:t>
        <w:fldChar w:fldCharType="end"/>
      </w:r>
    </w:p>
    <w:p>
      <w:pPr>
        <w:pStyle w:val="Prompt"/>
      </w:pPr>
      <w:r>
        <w:rPr/>
        <w:t xml:space="preserve">Size: </w:t>
      </w:r>
      <w:r>
        <w:fldChar w:fldCharType="begin"/>
        <w:instrText xml:space="preserve"> MACROBUTTON  ac_OnHelp [complete/delete]</w:instrText>
        <w:fldChar w:fldCharType="separate"/>
        <w:t xml:space="preserve"> </w:t>
        <w:fldChar w:fldCharType="end"/>
      </w:r>
    </w:p>
    <w:p>
      <w:pPr>
        <w:pStyle w:val="Prompt"/>
      </w:pPr>
      <w:r>
        <w:rPr/>
        <w:t xml:space="preserve">Text, graphics: </w:t>
      </w:r>
      <w:r>
        <w:fldChar w:fldCharType="begin"/>
        <w:instrText xml:space="preserve"> MACROBUTTON  ac_OnHelp [complete/delete]</w:instrText>
        <w:fldChar w:fldCharType="separate"/>
        <w:t xml:space="preserve"> </w:t>
        <w:fldChar w:fldCharType="end"/>
      </w:r>
    </w:p>
    <w:p>
      <w:pPr>
        <w:pStyle w:val="Instructions"/>
      </w:pPr>
      <w:r>
        <w:rPr/>
        <w:t xml:space="preserve">e.g. Name of the project, the owner, contractor, architect, engineer, quantity surveyor.</w:t>
      </w:r>
    </w:p>
    <w:p>
      <w:pPr>
        <w:pStyle w:val="Prompt"/>
      </w:pPr>
      <w:r>
        <w:rPr/>
        <w:t xml:space="preserve">Other details: </w:t>
      </w:r>
      <w:r>
        <w:fldChar w:fldCharType="begin"/>
        <w:instrText xml:space="preserve"> MACROBUTTON  ac_OnHelp [complete/delete]</w:instrText>
        <w:fldChar w:fldCharType="separate"/>
        <w:t xml:space="preserve"> </w:t>
        <w:fldChar w:fldCharType="end"/>
      </w:r>
    </w:p>
    <w:p>
      <w:pPr>
        <w:pStyle w:val="Instructions"/>
      </w:pPr>
      <w:r>
        <w:rPr/>
        <w:t xml:space="preserve">e.g. Drawing number.</w:t>
      </w:r>
    </w:p>
    <w:bookmarkEnd w:id="88"/>
    <w:bookmarkEnd w:id="87"/>
    <w:bookmarkStart w:name="f-91301" w:id="90"/>
    <w:bookmarkStart w:name="f-91301-content" w:id="91"/>
    <w:p>
      <w:pPr>
        <w:pStyle w:val="Heading3"/>
      </w:pPr>
      <w:bookmarkStart w:name="h-91301-content" w:id="92"/>
      <w:r>
        <w:rPr/>
        <w:t xml:space="preserve">Building the works</w:t>
      </w:r>
      <w:bookmarkEnd w:id="92"/>
    </w:p>
    <w:bookmarkEnd w:id="91"/>
    <w:bookmarkEnd w:id="90"/>
    <w:bookmarkStart w:name="f-124594" w:id="93"/>
    <w:bookmarkStart w:name="f-124594-1" w:id="94"/>
    <w:p>
      <w:pPr>
        <w:pStyle w:val="Instructions"/>
      </w:pPr>
      <w:r>
        <w:rPr/>
        <w:t xml:space="preserve">See ABIC BW 2018 C Section G</w:t>
      </w:r>
      <w:r>
        <w:rPr>
          <w:i/>
        </w:rPr>
        <w:t xml:space="preserve">.</w:t>
      </w:r>
    </w:p>
    <w:bookmarkEnd w:id="94"/>
    <w:bookmarkEnd w:id="93"/>
    <w:bookmarkStart w:name="f-124552" w:id="95"/>
    <w:bookmarkStart w:name="f-124552-1" w:id="96"/>
    <w:p>
      <w:pPr>
        <w:pStyle w:val="Heading4"/>
      </w:pPr>
      <w:bookmarkStart w:name="h-124552-1" w:id="97"/>
      <w:r>
        <w:rPr/>
        <w:t xml:space="preserve">Surveys</w:t>
      </w:r>
      <w:bookmarkEnd w:id="97"/>
    </w:p>
    <w:p>
      <w:pPr>
        <w:pStyle w:val="Prompt"/>
      </w:pPr>
      <w:r>
        <w:rPr/>
        <w:t xml:space="preserve">Setting out: </w:t>
      </w:r>
      <w:r>
        <w:fldChar w:fldCharType="begin"/>
        <w:instrText xml:space="preserve"> MACROBUTTON  ac_OnHelp [complete/delete]</w:instrText>
        <w:fldChar w:fldCharType="separate"/>
        <w:t xml:space="preserve"> </w:t>
        <w:fldChar w:fldCharType="end"/>
      </w:r>
    </w:p>
    <w:p>
      <w:pPr>
        <w:pStyle w:val="Instructions"/>
      </w:pPr>
      <w:r>
        <w:rPr/>
        <w:t xml:space="preserve">See ABIC BW 2018 C clause A2.</w:t>
      </w:r>
    </w:p>
    <w:bookmarkEnd w:id="96"/>
    <w:bookmarkEnd w:id="95"/>
    <w:bookmarkStart w:name="f-124558" w:id="98"/>
    <w:bookmarkStart w:name="f-124558-1" w:id="99"/>
    <w:p>
      <w:pPr>
        <w:pStyle w:val="Heading4"/>
      </w:pPr>
      <w:bookmarkStart w:name="h-124558-1" w:id="100"/>
      <w:r>
        <w:rPr/>
        <w:t xml:space="preserve">Survey marks</w:t>
      </w:r>
      <w:bookmarkEnd w:id="100"/>
    </w:p>
    <w:p>
      <w:pPr>
        <w:pStyle w:val="Instructions"/>
      </w:pPr>
      <w:r>
        <w:rPr/>
        <w:t xml:space="preserve">Protection of the contractor’s survey marks is the contractor’s obligation. Check the selected contract.</w:t>
      </w:r>
    </w:p>
    <w:p>
      <w:pPr>
        <w:pStyle w:val="Normal"/>
      </w:pPr>
      <w:r>
        <w:rPr/>
        <w:t xml:space="preserve">Definition: A survey peg, bench mark, reference mark, signal, alignment, level mark or any other mark used or intended to be used for the purpose of setting out, checking or measuring the work.</w:t>
      </w:r>
    </w:p>
    <w:p>
      <w:pPr>
        <w:pStyle w:val="Normal"/>
      </w:pPr>
      <w:r>
        <w:rPr/>
        <w:t xml:space="preserve">Care of survey marks: Preserve and maintain the owner’s survey marks in their true positions.</w:t>
      </w:r>
    </w:p>
    <w:p>
      <w:pPr>
        <w:pStyle w:val="Normal"/>
      </w:pPr>
      <w:r>
        <w:rPr/>
        <w:t xml:space="preserve">Rectification: If survey marks are disturbed or obliterated, immediately rectify.</w:t>
      </w:r>
    </w:p>
    <w:bookmarkEnd w:id="99"/>
    <w:bookmarkEnd w:id="98"/>
    <w:bookmarkStart w:name="f-124576" w:id="101"/>
    <w:bookmarkStart w:name="f-124576-1" w:id="102"/>
    <w:p>
      <w:pPr>
        <w:pStyle w:val="Heading4"/>
      </w:pPr>
      <w:bookmarkStart w:name="h-124576-1" w:id="103"/>
      <w:r>
        <w:rPr/>
        <w:t xml:space="preserve">Safety</w:t>
      </w:r>
      <w:bookmarkEnd w:id="103"/>
    </w:p>
    <w:p>
      <w:pPr>
        <w:pStyle w:val="Instructions"/>
      </w:pPr>
      <w:r>
        <w:rPr/>
        <w:t xml:space="preserve">See ABIC BW 2018 C clause A2 on contractor’s obligations for health and safety.</w:t>
      </w:r>
    </w:p>
    <w:p>
      <w:pPr>
        <w:pStyle w:val="Instructions"/>
      </w:pPr>
      <w:r>
        <w:rPr/>
        <w:t xml:space="preserve">Blanket bans on toxic products may be worth considering, though this issue is best dealt with by specifying non-toxic alternatives at the appropriate place in the technical specification. Handling of existing asbestos is dealt with in </w:t>
      </w:r>
      <w:r>
        <w:rPr>
          <w:i/>
        </w:rPr>
        <w:t xml:space="preserve">0201 Demolition</w:t>
      </w:r>
      <w:r>
        <w:rPr/>
        <w:t xml:space="preserve">. On lead hazards in construction, see AS 4874.</w:t>
      </w:r>
    </w:p>
    <w:p>
      <w:pPr>
        <w:pStyle w:val="Instructions"/>
      </w:pPr>
      <w:r>
        <w:rPr/>
        <w:t xml:space="preserve">The contractor is subject to stringent public and Work Health and Safety law. Work Health and Safety (WHS) legislation in some states and territories also include statutory obligations on designers in relation to WHS issues arising out of their designs during and after construction. Neither the construction contract nor the designers consultancy agreement can limit these statutory obligations, but may add further requirements, such as the following paragraphs, that provide for the owner to be kept informed, through the architect, if certain events occur.</w:t>
      </w:r>
    </w:p>
    <w:p>
      <w:pPr>
        <w:pStyle w:val="Instructions"/>
      </w:pPr>
      <w:r>
        <w:rPr/>
        <w:t xml:space="preserve">It is important to note that WHS obligations on contractors and designers differ in each state and territory.</w:t>
      </w:r>
    </w:p>
    <w:p>
      <w:pPr>
        <w:pStyle w:val="Normal"/>
      </w:pPr>
      <w:r>
        <w:rPr/>
        <w:t xml:space="preserve">Accidents: Promptly notify the architect of the occurrence of the following:</w:t>
      </w:r>
    </w:p>
    <w:p>
      <w:pPr>
        <w:pStyle w:val="NormalIndent"/>
      </w:pPr>
      <w:r>
        <w:rPr/>
        <w:t xml:space="preserve">Accidents involving death or personal injury.</w:t>
      </w:r>
    </w:p>
    <w:p>
      <w:pPr>
        <w:pStyle w:val="NormalIndent"/>
      </w:pPr>
      <w:r>
        <w:rPr/>
        <w:t xml:space="preserve">Accidents involving loss of time.</w:t>
      </w:r>
    </w:p>
    <w:p>
      <w:pPr>
        <w:pStyle w:val="NormalIndent"/>
      </w:pPr>
      <w:r>
        <w:rPr/>
        <w:t xml:space="preserve">Incidents with accident potential such as equipment failure, slides and cave-ins.</w:t>
      </w:r>
    </w:p>
    <w:p>
      <w:pPr>
        <w:pStyle w:val="Normal"/>
      </w:pPr>
      <w:r>
        <w:rPr/>
        <w:t xml:space="preserve">Accident reports: Submit reports of accidents.</w:t>
      </w:r>
    </w:p>
    <w:p>
      <w:pPr>
        <w:pStyle w:val="NormalIndent"/>
      </w:pPr>
      <w:r>
        <w:rPr/>
        <w:t xml:space="preserve">Purpose of submission: Information only.</w:t>
      </w:r>
    </w:p>
    <w:bookmarkEnd w:id="102"/>
    <w:bookmarkEnd w:id="101"/>
    <w:bookmarkStart w:name="f-124579" w:id="104"/>
    <w:bookmarkStart w:name="f-124579-1" w:id="105"/>
    <w:p>
      <w:pPr>
        <w:pStyle w:val="Heading4"/>
      </w:pPr>
      <w:bookmarkStart w:name="h-124579-1" w:id="106"/>
      <w:r>
        <w:rPr/>
        <w:t xml:space="preserve">Contractor's representative</w:t>
      </w:r>
      <w:bookmarkEnd w:id="106"/>
    </w:p>
    <w:p>
      <w:pPr>
        <w:pStyle w:val="Instructions"/>
      </w:pPr>
      <w:r>
        <w:rPr/>
        <w:t xml:space="preserve">The requirement for full-time competent supervisors, with appropriate experience and training, may need to be documented in some cases. Requirements vary across the country for many trades. General plumbers and electricians (special class) must be licensed in every state and territory.</w:t>
      </w:r>
    </w:p>
    <w:p>
      <w:pPr>
        <w:pStyle w:val="Normal"/>
      </w:pPr>
      <w:r>
        <w:rPr/>
        <w:t xml:space="preserve">General: Must be accessible, and fluent in English and technical terminology.</w:t>
      </w:r>
    </w:p>
    <w:bookmarkEnd w:id="105"/>
    <w:bookmarkEnd w:id="104"/>
    <w:bookmarkStart w:name="f-124591" w:id="107"/>
    <w:bookmarkStart w:name="f-124591-1" w:id="108"/>
    <w:p>
      <w:pPr>
        <w:pStyle w:val="Heading4"/>
      </w:pPr>
      <w:bookmarkStart w:name="h-124591-1" w:id="109"/>
      <w:r>
        <w:rPr/>
        <w:t xml:space="preserve">Subcontracting</w:t>
      </w:r>
      <w:bookmarkEnd w:id="109"/>
    </w:p>
    <w:p>
      <w:pPr>
        <w:pStyle w:val="Normal"/>
      </w:pPr>
      <w:r>
        <w:rPr/>
        <w:t xml:space="preserve">General: Submit a complete list of proposed subcontractors and suppliers.</w:t>
      </w:r>
    </w:p>
    <w:bookmarkEnd w:id="108"/>
    <w:bookmarkEnd w:id="107"/>
    <w:bookmarkStart w:name="f-124572" w:id="110"/>
    <w:bookmarkStart w:name="f-124572-1" w:id="111"/>
    <w:p>
      <w:pPr>
        <w:pStyle w:val="Heading4"/>
      </w:pPr>
      <w:bookmarkStart w:name="h-124572-1" w:id="112"/>
      <w:r>
        <w:rPr/>
        <w:t xml:space="preserve">Site meetings </w:t>
      </w:r>
      <w:bookmarkEnd w:id="112"/>
    </w:p>
    <w:p>
      <w:pPr>
        <w:pStyle w:val="Instructions"/>
      </w:pPr>
      <w:r>
        <w:rPr/>
        <w:t xml:space="preserve">Invite the owner to attend or send a representative to site meetings to observe, but not necessarily to participate. Agendas may be required on large projects.</w:t>
      </w:r>
    </w:p>
    <w:p>
      <w:pPr>
        <w:pStyle w:val="Normal"/>
      </w:pPr>
      <w:r>
        <w:rPr/>
        <w:t xml:space="preserve">General: Hold and attend site meetings throughout the contract and arrange for the attendance of appropriate subcontractors, the architect, and appropriate consultants.</w:t>
      </w:r>
    </w:p>
    <w:p>
      <w:pPr>
        <w:pStyle w:val="Prompt"/>
      </w:pPr>
      <w:r>
        <w:rPr/>
        <w:t xml:space="preserve">Frequency: </w:t>
      </w:r>
      <w:r>
        <w:fldChar w:fldCharType="begin"/>
        <w:instrText xml:space="preserve"> MACROBUTTON  ac_OnHelp [complete/delete]</w:instrText>
        <w:fldChar w:fldCharType="separate"/>
        <w:t xml:space="preserve"> </w:t>
        <w:fldChar w:fldCharType="end"/>
      </w:r>
    </w:p>
    <w:p>
      <w:pPr>
        <w:pStyle w:val="Instructions"/>
      </w:pPr>
      <w:r>
        <w:rPr/>
        <w:t xml:space="preserve">The frequency of meetings is best agreed by the architect and contractor, as being the most appropriate for the project, and may vary. It is helpful if meetings coincide with the timing of progress claims, though not essential.</w:t>
      </w:r>
    </w:p>
    <w:p>
      <w:pPr>
        <w:pStyle w:val="Normal"/>
      </w:pPr>
      <w:r>
        <w:rPr/>
        <w:t xml:space="preserve">Minutes: Make a record of site meetings. Within 5 working days after each meeting, distribute a copy of the minutes to each party.</w:t>
      </w:r>
    </w:p>
    <w:p>
      <w:pPr>
        <w:pStyle w:val="NormalIndent"/>
      </w:pPr>
      <w:r>
        <w:rPr/>
        <w:t xml:space="preserve">Purpose of submission: Review.</w:t>
      </w:r>
    </w:p>
    <w:p>
      <w:pPr>
        <w:pStyle w:val="Instructions"/>
      </w:pPr>
      <w:r>
        <w:rPr/>
        <w:t xml:space="preserve">Delete if the architect is to take and distribute the minutes.</w:t>
      </w:r>
    </w:p>
    <w:p>
      <w:pPr>
        <w:pStyle w:val="Normal"/>
      </w:pPr>
      <w:r>
        <w:rPr/>
        <w:t xml:space="preserve">Contacts: At the first site meeting, submit names and telephone numbers of responsible persons who may be contacted after hours during the course of the contract.</w:t>
      </w:r>
    </w:p>
    <w:p>
      <w:pPr>
        <w:pStyle w:val="NormalIndent"/>
      </w:pPr>
      <w:r>
        <w:rPr/>
        <w:t xml:space="preserve">Purpose of submission: Information only.</w:t>
      </w:r>
    </w:p>
    <w:bookmarkEnd w:id="111"/>
    <w:bookmarkEnd w:id="110"/>
    <w:bookmarkStart w:name="f-124550" w:id="113"/>
    <w:bookmarkStart w:name="f-124550-1" w:id="114"/>
    <w:p>
      <w:pPr>
        <w:pStyle w:val="Heading4"/>
      </w:pPr>
      <w:bookmarkStart w:name="h-124550-1" w:id="115"/>
      <w:r>
        <w:rPr/>
        <w:t xml:space="preserve">Items supplied by owner</w:t>
      </w:r>
      <w:bookmarkEnd w:id="115"/>
    </w:p>
    <w:p>
      <w:pPr>
        <w:pStyle w:val="Normal"/>
      </w:pPr>
      <w:r>
        <w:rPr/>
        <w:t xml:space="preserve">General: Materials and other items supplied free of charge to the contractor for installation in the execution of the works. Unload and take delivery, inspect for defects and take care of the items. If defects are found, advise. Return unused items to the owner.</w:t>
      </w:r>
    </w:p>
    <w:p>
      <w:pPr>
        <w:pStyle w:val="Prompt"/>
      </w:pPr>
      <w:r>
        <w:rPr/>
        <w:t xml:space="preserve">Conditions of supply: </w:t>
      </w:r>
      <w:r>
        <w:fldChar w:fldCharType="begin"/>
        <w:instrText xml:space="preserve"> MACROBUTTON  ac_OnHelp [complete/delete]</w:instrText>
        <w:fldChar w:fldCharType="separate"/>
        <w:t xml:space="preserve"> </w:t>
        <w:fldChar w:fldCharType="end"/>
      </w:r>
    </w:p>
    <w:p>
      <w:pPr>
        <w:pStyle w:val="Prompt"/>
      </w:pPr>
      <w:r>
        <w:rPr/>
        <w:t xml:space="preserve">Notice: </w:t>
      </w:r>
      <w:r>
        <w:fldChar w:fldCharType="begin"/>
        <w:instrText xml:space="preserve"> MACROBUTTON  ac_OnHelp [complete/delete]</w:instrText>
        <w:fldChar w:fldCharType="separate"/>
        <w:t xml:space="preserve"> </w:t>
        <w:fldChar w:fldCharType="end"/>
      </w:r>
    </w:p>
    <w:p>
      <w:pPr>
        <w:pStyle w:val="Instructions"/>
      </w:pPr>
      <w:r>
        <w:rPr/>
        <w:t xml:space="preserve">For delivery of critical items under the control of the architect/owner (e.g. statues, electrical equipment). If there is not adequate storage available, action may be required.</w:t>
      </w:r>
    </w:p>
    <w:bookmarkEnd w:id="114"/>
    <w:bookmarkEnd w:id="113"/>
    <w:bookmarkStart w:name="f-124561" w:id="116"/>
    <w:bookmarkStart w:name="f-124561-1" w:id="117"/>
    <w:p>
      <w:pPr>
        <w:pStyle w:val="Heading4"/>
      </w:pPr>
      <w:bookmarkStart w:name="h-124561-1" w:id="118"/>
      <w:r>
        <w:rPr/>
        <w:t xml:space="preserve">Items supplied by the owner schedule</w:t>
      </w:r>
      <w:bookmarkEnd w:id="118"/>
    </w:p>
    <w:tbl>
      <w:tblGrid>
        <w:gridCol w:w="2500"/>
        <w:gridCol w:w="2500"/>
        <w:gridCol w:w="2500"/>
        <w:gridCol w:w="2500"/>
      </w:tblGrid>
      <w:tblPr>
        <w:tblStyle w:val="NATSPECTable"/>
        <w:tblW w:w="5000" w:type="pct"/>
        <w:tblLook w:val="05E0" w:firstRow="0" w:lastRow="0" w:firstColumn="0" w:lastColumn="0"/>
      </w:tblPr>
      <w:tr>
        <w:trPr>
          <w:tblHeader/>
        </w:trPr>
        <w:tc>
          <w:tcPr>
            <w:tcW w:w="2500" w:type="dxa"/>
          </w:tcPr>
          <w:p>
            <w:pPr>
              <w:pStyle w:val="Tabletitle"/>
            </w:pPr>
            <w:r>
              <w:rPr/>
              <w:t xml:space="preserve">Location</w:t>
            </w:r>
          </w:p>
        </w:tc>
        <w:tc>
          <w:tcPr>
            <w:tcW w:w="2500" w:type="dxa"/>
          </w:tcPr>
          <w:p>
            <w:pPr>
              <w:pStyle w:val="Tabletitle"/>
            </w:pPr>
            <w:r>
              <w:rPr/>
              <w:t xml:space="preserve">Item</w:t>
            </w:r>
          </w:p>
        </w:tc>
        <w:tc>
          <w:tcPr>
            <w:tcW w:w="2500" w:type="dxa"/>
          </w:tcPr>
          <w:p>
            <w:pPr>
              <w:pStyle w:val="Tabletitle"/>
            </w:pPr>
            <w:r>
              <w:rPr/>
              <w:t xml:space="preserve">Quantity</w:t>
            </w:r>
          </w:p>
        </w:tc>
        <w:tc>
          <w:tcPr>
            <w:tcW w:w="2500" w:type="dxa"/>
          </w:tcPr>
          <w:p>
            <w:pPr>
              <w:pStyle w:val="Tabletitle"/>
            </w:pPr>
            <w:r>
              <w:rPr/>
              <w:t xml:space="preserve">Date</w:t>
            </w:r>
          </w:p>
        </w:tc>
      </w:tr>
      <w:tr>
        <w:tc>
          <w:tcPr>
            <w:tcW w:w="2500" w:type="dxa"/>
          </w:tcPr>
          <w:p/>
        </w:tc>
        <w:tc>
          <w:tcPr>
            <w:tcW w:w="2500" w:type="dxa"/>
          </w:tcPr>
          <w:p/>
        </w:tc>
        <w:tc>
          <w:tcPr>
            <w:tcW w:w="2500" w:type="dxa"/>
          </w:tcPr>
          <w:p/>
        </w:tc>
        <w:tc>
          <w:tcPr>
            <w:tcW w:w="2500" w:type="dxa"/>
          </w:tcPr>
          <w:p/>
        </w:tc>
      </w:tr>
      <w:tr>
        <w:tc>
          <w:tcPr>
            <w:tcW w:w="2500" w:type="dxa"/>
          </w:tcPr>
          <w:p/>
        </w:tc>
        <w:tc>
          <w:tcPr>
            <w:tcW w:w="2500" w:type="dxa"/>
          </w:tcPr>
          <w:p/>
        </w:tc>
        <w:tc>
          <w:tcPr>
            <w:tcW w:w="2500" w:type="dxa"/>
          </w:tcPr>
          <w:p/>
        </w:tc>
        <w:tc>
          <w:tcPr>
            <w:tcW w:w="2500" w:type="dxa"/>
          </w:tcPr>
          <w:p/>
        </w:tc>
      </w:tr>
      <w:tr>
        <w:tc>
          <w:tcPr>
            <w:tcW w:w="2500" w:type="dxa"/>
          </w:tcPr>
          <w:p/>
        </w:tc>
        <w:tc>
          <w:tcPr>
            <w:tcW w:w="2500" w:type="dxa"/>
          </w:tcPr>
          <w:p/>
        </w:tc>
        <w:tc>
          <w:tcPr>
            <w:tcW w:w="2500" w:type="dxa"/>
          </w:tcPr>
          <w:p/>
        </w:tc>
        <w:tc>
          <w:tcPr>
            <w:tcW w:w="2500" w:type="dxa"/>
          </w:tcPr>
          <w:p/>
        </w:tc>
      </w:tr>
    </w:tbl>
    <w:p>
      <w:pPr>
        <w:pStyle w:val="Normal"/>
      </w:pPr>
      <w:r>
        <w:rPr/>
        <w:t xml:space="preserve"> </w:t>
      </w:r>
    </w:p>
    <w:p>
      <w:pPr>
        <w:pStyle w:val="Instructions"/>
      </w:pPr>
      <w:r>
        <w:rPr/>
        <w:t xml:space="preserve">Date: Of delivery or availability, to permit preparation of program.</w:t>
      </w:r>
    </w:p>
    <w:bookmarkEnd w:id="117"/>
    <w:bookmarkEnd w:id="116"/>
    <w:bookmarkStart w:name="f-126087" w:id="119"/>
    <w:bookmarkStart w:name="f-126087-1" w:id="120"/>
    <w:p>
      <w:pPr>
        <w:pStyle w:val="Heading4"/>
      </w:pPr>
      <w:bookmarkStart w:name="h-126087-1" w:id="121"/>
      <w:r>
        <w:rPr/>
        <w:t xml:space="preserve">Changes to existing</w:t>
      </w:r>
      <w:bookmarkEnd w:id="121"/>
    </w:p>
    <w:p>
      <w:pPr>
        <w:pStyle w:val="Prompt"/>
      </w:pPr>
      <w:r>
        <w:rPr/>
        <w:t xml:space="preserve">General: At least 5 working days before changing the following existing items, give notice: </w:t>
      </w:r>
      <w:r>
        <w:fldChar w:fldCharType="begin"/>
        <w:instrText xml:space="preserve"> MACROBUTTON  ac_OnHelp [complete/delete]</w:instrText>
        <w:fldChar w:fldCharType="separate"/>
        <w:t xml:space="preserve"> </w:t>
        <w:fldChar w:fldCharType="end"/>
      </w:r>
    </w:p>
    <w:p>
      <w:pPr>
        <w:pStyle w:val="Instructions"/>
      </w:pPr>
      <w:r>
        <w:rPr/>
        <w:t xml:space="preserve">The items may be part of existing structures, services, survey marks, etc.</w:t>
      </w:r>
    </w:p>
    <w:bookmarkEnd w:id="120"/>
    <w:bookmarkEnd w:id="119"/>
    <w:bookmarkStart w:name="f-75613" w:id="122"/>
    <w:bookmarkStart w:name="f-75613-content" w:id="123"/>
    <w:p>
      <w:pPr>
        <w:pStyle w:val="Heading3"/>
      </w:pPr>
      <w:bookmarkStart w:name="h-75613-content" w:id="124"/>
      <w:r>
        <w:rPr/>
        <w:t xml:space="preserve">Completion of the works</w:t>
      </w:r>
      <w:bookmarkEnd w:id="124"/>
    </w:p>
    <w:bookmarkEnd w:id="123"/>
    <w:bookmarkEnd w:id="122"/>
    <w:bookmarkStart w:name="f-124582" w:id="125"/>
    <w:bookmarkStart w:name="f-124582-1" w:id="126"/>
    <w:p>
      <w:pPr>
        <w:pStyle w:val="Instructions"/>
      </w:pPr>
      <w:r>
        <w:rPr/>
        <w:t xml:space="preserve">See ABIC BW 2018 C Section M</w:t>
      </w:r>
      <w:r>
        <w:rPr>
          <w:i/>
        </w:rPr>
        <w:t xml:space="preserve">.</w:t>
      </w:r>
    </w:p>
    <w:bookmarkEnd w:id="126"/>
    <w:bookmarkEnd w:id="125"/>
    <w:bookmarkStart w:name="f-124575" w:id="127"/>
    <w:bookmarkStart w:name="f-124575-1" w:id="128"/>
    <w:p>
      <w:pPr>
        <w:pStyle w:val="Heading4"/>
      </w:pPr>
      <w:bookmarkStart w:name="h-124575-1" w:id="129"/>
      <w:r>
        <w:rPr/>
        <w:t xml:space="preserve">Final cleaning</w:t>
      </w:r>
      <w:bookmarkEnd w:id="129"/>
    </w:p>
    <w:p>
      <w:pPr>
        <w:pStyle w:val="Normal"/>
      </w:pPr>
      <w:r>
        <w:rPr/>
        <w:t xml:space="preserve">General: Before the date for practical completion, clean throughout, including interior and exterior surfaces exposed to view. Vacuum carpeted and soft surfaces. Clean debris from the site, roofs, gutters, downpipes and drainage systems. Remove waste and surplus materials.</w:t>
      </w:r>
    </w:p>
    <w:p>
      <w:pPr>
        <w:pStyle w:val="Normal"/>
      </w:pPr>
      <w:r>
        <w:rPr/>
        <w:t xml:space="preserve">Samples: Remove non-incorporated samples, prototypes and sample panels.</w:t>
      </w:r>
    </w:p>
    <w:bookmarkEnd w:id="128"/>
    <w:bookmarkEnd w:id="127"/>
    <w:bookmarkStart w:name="f-124584" w:id="130"/>
    <w:bookmarkStart w:name="f-124584-1" w:id="131"/>
    <w:p>
      <w:pPr>
        <w:pStyle w:val="Heading4"/>
      </w:pPr>
      <w:bookmarkStart w:name="h-124584-1" w:id="132"/>
      <w:r>
        <w:rPr/>
        <w:t xml:space="preserve">Reinstatement</w:t>
      </w:r>
      <w:bookmarkEnd w:id="132"/>
    </w:p>
    <w:p>
      <w:pPr>
        <w:pStyle w:val="Normal"/>
      </w:pPr>
      <w:r>
        <w:rPr/>
        <w:t xml:space="preserve">General: Before the date for practical completion, clean and repair damage caused by installation or use of temporary work and restore existing facilities used during construction to original condition.</w:t>
      </w:r>
    </w:p>
    <w:bookmarkEnd w:id="131"/>
    <w:bookmarkEnd w:id="130"/>
    <w:bookmarkStart w:name="f-124587" w:id="133"/>
    <w:bookmarkStart w:name="f-124587-1" w:id="134"/>
    <w:p>
      <w:pPr>
        <w:pStyle w:val="Heading4"/>
      </w:pPr>
      <w:bookmarkStart w:name="h-124587-1" w:id="135"/>
      <w:r>
        <w:rPr/>
        <w:t xml:space="preserve">Adjoining property</w:t>
      </w:r>
      <w:bookmarkEnd w:id="135"/>
    </w:p>
    <w:p>
      <w:pPr>
        <w:pStyle w:val="Normal"/>
      </w:pPr>
      <w:r>
        <w:rPr/>
        <w:t xml:space="preserve">Evaluation: At practical completion, for each property described in the </w:t>
      </w:r>
      <w:hyperlink w:anchor="f-124553" w:history="1">
        <w:r>
          <w:rPr>
            <w:rStyle w:val="DefaultParagraphFont"/>
            <w:b/>
          </w:rPr>
          <w:t>Adjoining properties to be recorded schedule</w:t>
        </w:r>
      </w:hyperlink>
      <w:r>
        <w:rPr/>
        <w:t xml:space="preserve">, inspect the property with the architect and owner and occupant of the property, recording any damage that has occurred since the pre-commencement inspection.</w:t>
      </w:r>
    </w:p>
    <w:bookmarkEnd w:id="134"/>
    <w:bookmarkEnd w:id="133"/>
    <w:bookmarkStart w:name="f-124562" w:id="136"/>
    <w:bookmarkStart w:name="f-124562-1" w:id="137"/>
    <w:p>
      <w:pPr>
        <w:pStyle w:val="Heading4"/>
      </w:pPr>
      <w:bookmarkStart w:name="h-124562-1" w:id="138"/>
      <w:r>
        <w:rPr/>
        <w:t xml:space="preserve">Pest eradication</w:t>
      </w:r>
      <w:bookmarkEnd w:id="138"/>
    </w:p>
    <w:p>
      <w:pPr>
        <w:pStyle w:val="Normal"/>
      </w:pPr>
      <w:r>
        <w:rPr/>
        <w:t xml:space="preserve">General: Employ suitably qualified pest exterminators. At practical completion, verify that completed works are free of pest types documented in the </w:t>
      </w:r>
      <w:hyperlink w:anchor="f-124556" w:history="1">
        <w:r>
          <w:rPr>
            <w:rStyle w:val="DefaultParagraphFont"/>
            <w:b/>
          </w:rPr>
          <w:t>Pest eradication treatments schedule</w:t>
        </w:r>
      </w:hyperlink>
      <w:r>
        <w:rPr/>
        <w:t xml:space="preserve">.</w:t>
      </w:r>
    </w:p>
    <w:bookmarkEnd w:id="137"/>
    <w:bookmarkEnd w:id="136"/>
    <w:bookmarkStart w:name="f-124556" w:id="139"/>
    <w:bookmarkStart w:name="f-124556-1" w:id="140"/>
    <w:p>
      <w:pPr>
        <w:pStyle w:val="Heading4"/>
      </w:pPr>
      <w:bookmarkStart w:name="h-124556-1" w:id="141"/>
      <w:r>
        <w:rPr/>
        <w:t xml:space="preserve">Pest eradication treatments schedule</w:t>
      </w:r>
      <w:bookmarkEnd w:id="141"/>
    </w:p>
    <w:tbl>
      <w:tblGrid>
        <w:gridCol w:w="5000"/>
        <w:gridCol w:w="5000"/>
      </w:tblGrid>
      <w:tblPr>
        <w:tblStyle w:val="NATSPECTable"/>
        <w:tblW w:w="5000" w:type="pct"/>
        <w:tblLook w:val="05E0" w:firstRow="0" w:lastRow="0" w:firstColumn="0" w:lastColumn="0"/>
      </w:tblPr>
      <w:tr>
        <w:trPr>
          <w:tblHeader/>
        </w:trPr>
        <w:tc>
          <w:tcPr>
            <w:tcW w:w="5000" w:type="dxa"/>
          </w:tcPr>
          <w:p>
            <w:pPr>
              <w:pStyle w:val="Tabletitle"/>
            </w:pPr>
            <w:r>
              <w:rPr/>
              <w:t xml:space="preserve">Pest type to be treated</w:t>
            </w:r>
          </w:p>
        </w:tc>
        <w:tc>
          <w:tcPr>
            <w:tcW w:w="5000" w:type="dxa"/>
          </w:tcPr>
          <w:p>
            <w:pPr>
              <w:pStyle w:val="Tabletitle"/>
            </w:pPr>
            <w:r>
              <w:rPr/>
              <w:t xml:space="preserve">Pest eradication method</w:t>
            </w:r>
          </w:p>
        </w:tc>
      </w:tr>
      <w:tr>
        <w:tc>
          <w:tcPr>
            <w:tcW w:w="5000" w:type="dxa"/>
          </w:tcPr>
          <w:p/>
        </w:tc>
        <w:tc>
          <w:tcPr>
            <w:tcW w:w="5000" w:type="dxa"/>
          </w:tcPr>
          <w:p/>
        </w:tc>
      </w:tr>
      <w:tr>
        <w:tc>
          <w:tcPr>
            <w:tcW w:w="5000" w:type="dxa"/>
          </w:tcPr>
          <w:p/>
        </w:tc>
        <w:tc>
          <w:tcPr>
            <w:tcW w:w="5000" w:type="dxa"/>
          </w:tcPr>
          <w:p/>
        </w:tc>
      </w:tr>
      <w:tr>
        <w:tc>
          <w:tcPr>
            <w:tcW w:w="5000" w:type="dxa"/>
          </w:tcPr>
          <w:p/>
        </w:tc>
        <w:tc>
          <w:tcPr>
            <w:tcW w:w="5000" w:type="dxa"/>
          </w:tcPr>
          <w:p/>
        </w:tc>
      </w:tr>
    </w:tbl>
    <w:p>
      <w:pPr>
        <w:pStyle w:val="Normal"/>
      </w:pPr>
      <w:r>
        <w:rPr/>
        <w:t xml:space="preserve"> </w:t>
      </w:r>
    </w:p>
    <w:p>
      <w:pPr>
        <w:pStyle w:val="Instructions"/>
      </w:pPr>
      <w:r>
        <w:rPr/>
        <w:t xml:space="preserve">Eradication method: e.g. Exterminator's recommendation.</w:t>
      </w:r>
    </w:p>
    <w:bookmarkEnd w:id="140"/>
    <w:bookmarkEnd w:id="139"/>
    <w:bookmarkStart w:name="f-124557" w:id="142"/>
    <w:bookmarkStart w:name="f-124557-1" w:id="143"/>
    <w:p>
      <w:pPr>
        <w:pStyle w:val="Heading4"/>
      </w:pPr>
      <w:bookmarkStart w:name="h-124557-1" w:id="144"/>
      <w:r>
        <w:rPr/>
        <w:t xml:space="preserve">Removal of plant</w:t>
      </w:r>
      <w:bookmarkEnd w:id="144"/>
    </w:p>
    <w:p>
      <w:pPr>
        <w:pStyle w:val="Normal"/>
      </w:pPr>
      <w:r>
        <w:rPr/>
        <w:t xml:space="preserve">General: Within 10 working days after practical completion, remove temporary works and construction plant no longer required. Remove the balance before the end of the defects liability period.</w:t>
      </w:r>
    </w:p>
    <w:bookmarkEnd w:id="143"/>
    <w:bookmarkEnd w:id="142"/>
    <w:bookmarkStart w:name="f-80066" w:id="145"/>
    <w:bookmarkStart w:name="f-80066-content" w:id="146"/>
    <w:p>
      <w:pPr>
        <w:pStyle w:val="Heading3"/>
      </w:pPr>
      <w:bookmarkStart w:name="h-80066-content" w:id="147"/>
      <w:r>
        <w:rPr/>
        <w:t xml:space="preserve">Payment for the works</w:t>
      </w:r>
      <w:bookmarkEnd w:id="147"/>
    </w:p>
    <w:bookmarkEnd w:id="146"/>
    <w:bookmarkEnd w:id="145"/>
    <w:bookmarkStart w:name="f-124565" w:id="148"/>
    <w:bookmarkStart w:name="f-124565-1" w:id="149"/>
    <w:p>
      <w:pPr>
        <w:pStyle w:val="Instructions"/>
      </w:pPr>
      <w:r>
        <w:rPr/>
        <w:t xml:space="preserve">See ABIC BW 2018 C Section N. It is assumed that any contingency sum is reserved outside the contract.</w:t>
      </w:r>
    </w:p>
    <w:bookmarkEnd w:id="149"/>
    <w:bookmarkEnd w:id="148"/>
    <w:bookmarkStart w:name="f-124581" w:id="150"/>
    <w:bookmarkStart w:name="f-124581-1" w:id="151"/>
    <w:p>
      <w:pPr>
        <w:pStyle w:val="Heading4"/>
      </w:pPr>
      <w:bookmarkStart w:name="h-124581-1" w:id="152"/>
      <w:r>
        <w:rPr/>
        <w:t xml:space="preserve">Method of measurement</w:t>
      </w:r>
      <w:bookmarkEnd w:id="152"/>
    </w:p>
    <w:p>
      <w:pPr>
        <w:pStyle w:val="Normal"/>
      </w:pPr>
      <w:r>
        <w:rPr/>
        <w:t xml:space="preserve">General: In conformance with the principles of the Australian and New Zealand standard method of measurement of building works (ANZSMM).</w:t>
      </w:r>
    </w:p>
    <w:bookmarkEnd w:id="151"/>
    <w:bookmarkEnd w:id="150"/>
    <w:bookmarkStart w:name="f-86087" w:id="153"/>
    <w:bookmarkStart w:name="f-86087-content" w:id="154"/>
    <w:p>
      <w:pPr>
        <w:pStyle w:val="Heading3"/>
      </w:pPr>
      <w:bookmarkStart w:name="h-86087-content" w:id="155"/>
      <w:r>
        <w:rPr/>
        <w:t xml:space="preserve">Miscellaneous</w:t>
      </w:r>
      <w:bookmarkEnd w:id="155"/>
    </w:p>
    <w:bookmarkEnd w:id="154"/>
    <w:bookmarkEnd w:id="153"/>
    <w:bookmarkStart w:name="f-124588" w:id="156"/>
    <w:bookmarkStart w:name="f-124588-1" w:id="157"/>
    <w:p>
      <w:pPr>
        <w:pStyle w:val="Instructions"/>
      </w:pPr>
      <w:r>
        <w:rPr/>
        <w:t xml:space="preserve">See ABIC BW 2018 C Section R.</w:t>
      </w:r>
    </w:p>
    <w:bookmarkEnd w:id="157"/>
    <w:bookmarkEnd w:id="156"/>
    <w:bookmarkStart w:name="f-124564" w:id="158"/>
    <w:bookmarkStart w:name="f-124564-1" w:id="159"/>
    <w:p>
      <w:pPr>
        <w:pStyle w:val="Heading4"/>
      </w:pPr>
      <w:bookmarkStart w:name="h-124564-1" w:id="160"/>
      <w:r>
        <w:rPr/>
        <w:t xml:space="preserve">Compliance with the law</w:t>
      </w:r>
      <w:bookmarkEnd w:id="160"/>
    </w:p>
    <w:p>
      <w:pPr>
        <w:pStyle w:val="Normal"/>
      </w:pPr>
      <w:r>
        <w:rPr/>
        <w:t xml:space="preserve">Requirements of authorities: The owner, before entering into the contract, has given the notices, paid the fees, and obtained the permits, approvals and other authorisations, as documented in the </w:t>
      </w:r>
      <w:hyperlink w:anchor="f-124592" w:history="1">
        <w:r>
          <w:rPr>
            <w:rStyle w:val="DefaultParagraphFont"/>
            <w:b/>
          </w:rPr>
          <w:t>Prior applications and approvals schedule</w:t>
        </w:r>
      </w:hyperlink>
      <w:r>
        <w:rPr/>
        <w:t xml:space="preserve">.</w:t>
      </w:r>
    </w:p>
    <w:p>
      <w:pPr>
        <w:pStyle w:val="Instructions"/>
      </w:pPr>
      <w:r>
        <w:rPr/>
        <w:t xml:space="preserve">See ABIC BW 2018 C clause R5 on compliance with the law. On Work Health and Safety requirements, the roles of private certifiers vary between jurisdictions.</w:t>
      </w:r>
    </w:p>
    <w:bookmarkEnd w:id="159"/>
    <w:bookmarkEnd w:id="158"/>
    <w:bookmarkStart w:name="f-124592" w:id="161"/>
    <w:bookmarkStart w:name="f-124592-1" w:id="162"/>
    <w:p>
      <w:pPr>
        <w:pStyle w:val="Heading4"/>
      </w:pPr>
      <w:bookmarkStart w:name="h-124592-1" w:id="163"/>
      <w:r>
        <w:rPr/>
        <w:t xml:space="preserve">Prior applications and approvals schedule</w:t>
      </w:r>
      <w:bookmarkEnd w:id="163"/>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Prior notices given and applications made</w:t>
            </w:r>
          </w:p>
        </w:tc>
        <w:tc>
          <w:tcPr>
            <w:tcW w:w="3333" w:type="dxa"/>
          </w:tcPr>
          <w:p>
            <w:pPr>
              <w:pStyle w:val="Tabletitle"/>
            </w:pPr>
            <w:r>
              <w:rPr/>
              <w:t xml:space="preserve">Fees paid</w:t>
            </w:r>
          </w:p>
        </w:tc>
        <w:tc>
          <w:tcPr>
            <w:tcW w:w="3333" w:type="dxa"/>
          </w:tcPr>
          <w:p>
            <w:pPr>
              <w:pStyle w:val="Tabletitle"/>
            </w:pPr>
            <w:r>
              <w:rPr/>
              <w:t xml:space="preserve">Permits, approvals and authorisations received</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See ABIC BW 2018 C clause A4 on the obligations of the owner to obtain and give to the contractor any statutory approvals required to commence construction of the works. List the applications made, e.g. Building application to... Council, fees paid, and approvals received, e.g. Building approval dated...</w:t>
      </w:r>
    </w:p>
    <w:p>
      <w:pPr>
        <w:pStyle w:val="Instructions"/>
      </w:pPr>
      <w:r>
        <w:rPr/>
        <w:t xml:space="preserve">This information may also be provided in </w:t>
      </w:r>
      <w:r>
        <w:rPr>
          <w:i/>
        </w:rPr>
        <w:t xml:space="preserve">0121 Tendering</w:t>
      </w:r>
      <w:r>
        <w:rPr/>
        <w:t xml:space="preserve">, if so delete here.</w:t>
      </w:r>
    </w:p>
    <w:bookmarkEnd w:id="162"/>
    <w:bookmarkEnd w:id="161"/>
    <w:bookmarkStart w:name="f-124563" w:id="164"/>
    <w:bookmarkStart w:name="f-124563-1" w:id="165"/>
    <w:p>
      <w:pPr>
        <w:pStyle w:val="Heading4"/>
      </w:pPr>
      <w:bookmarkStart w:name="h-124563-1" w:id="166"/>
      <w:r>
        <w:rPr/>
        <w:t xml:space="preserve">Authority conditions schedule</w:t>
      </w:r>
      <w:bookmarkEnd w:id="166"/>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Authority</w:t>
            </w:r>
          </w:p>
        </w:tc>
        <w:tc>
          <w:tcPr>
            <w:tcW w:w="3333" w:type="dxa"/>
          </w:tcPr>
          <w:p>
            <w:pPr>
              <w:pStyle w:val="Tabletitle"/>
            </w:pPr>
            <w:r>
              <w:rPr/>
              <w:t xml:space="preserve">Document</w:t>
            </w:r>
          </w:p>
        </w:tc>
        <w:tc>
          <w:tcPr>
            <w:tcW w:w="3333" w:type="dxa"/>
          </w:tcPr>
          <w:p>
            <w:pPr>
              <w:pStyle w:val="Tabletitle"/>
            </w:pPr>
            <w:r>
              <w:rPr/>
              <w:t xml:space="preserve">Condition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Authorities commonly impose conditions governing noise, access, dust, hours of operation, inspections and traffic control. The contractor is obliged by law to comply with environmental protection legislation and with local authority requirements. The contract cannot interfere with that obligation, but may stipulate more stringent requirements for contract purposes. Consider documenting any such requirements here in a separate schedule. Responsibility for conditions, if any, imposed by local authorities needs to be resolved. Consider scheduling here those conditions which affect the contractor. Coordinate with </w:t>
      </w:r>
      <w:r>
        <w:rPr>
          <w:b/>
        </w:rPr>
        <w:t xml:space="preserve">Site restrictions</w:t>
      </w:r>
      <w:r>
        <w:rPr/>
        <w:t xml:space="preserve">, Site limitations. Ultimately, all the conditions are the responsibility of the applicant (owner) as far as the local authorities are concerned.</w:t>
      </w:r>
    </w:p>
    <w:bookmarkEnd w:id="165"/>
    <w:bookmarkEnd w:id="164"/>
    <w:bookmarkEnd w:id="1"/>
    <w:bookmarkStart w:name="f-worksection-refdoc" w:id="167"/>
    <w:p>
      <w:pPr>
        <w:pStyle w:val="InstructionsHeading4"/>
      </w:pPr>
      <w:r>
        <w:rPr/>
        <w:t xml:space="preserve">REFERENCED DOCUMENTS</w:t>
      </w:r>
    </w:p>
    <w:p>
      <w:pPr>
        <w:pStyle w:val="Instructions"/>
      </w:pPr>
      <w:r>
        <w:rPr>
          <w:b/>
        </w:rPr>
        <w:t xml:space="preserve">The following documents are incorporated into this worksection by reference:</w:t>
      </w:r>
    </w:p>
    <w:p>
      <w:pPr>
        <w:pStyle w:val="Standard1"/>
      </w:pPr>
      <w:r>
        <w:rPr/>
        <w:t xml:space="preserve">ABIC BW 2018 C</w:t>
      </w:r>
      <w:r>
        <w:tab/>
      </w:r>
      <w:r>
        <w:rPr/>
        <w:t xml:space="preserve">2018</w:t>
      </w:r>
      <w:r>
        <w:tab/>
      </w:r>
      <w:r>
        <w:rPr/>
        <w:t xml:space="preserve">Australian Building Industry Contract - Commercial basic works contract</w:t>
      </w:r>
    </w:p>
    <w:p>
      <w:pPr>
        <w:pStyle w:val="Standard1"/>
      </w:pPr>
      <w:r>
        <w:rPr/>
        <w:t xml:space="preserve">ANZSMM</w:t>
      </w:r>
      <w:r>
        <w:tab/>
      </w:r>
      <w:r>
        <w:rPr/>
        <w:t xml:space="preserve">2018</w:t>
      </w:r>
      <w:r>
        <w:tab/>
      </w:r>
      <w:r>
        <w:rPr/>
        <w:t xml:space="preserve">Australian and New Zealand standard method of measurement of building works</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AS 2124</w:t>
      </w:r>
      <w:r>
        <w:tab/>
      </w:r>
      <w:r>
        <w:rPr/>
        <w:t xml:space="preserve">1992</w:t>
      </w:r>
      <w:r>
        <w:tab/>
      </w:r>
      <w:r>
        <w:rPr/>
        <w:t xml:space="preserve">General conditions of contract</w:t>
      </w:r>
    </w:p>
    <w:p>
      <w:pPr>
        <w:pStyle w:val="Standard1"/>
      </w:pPr>
      <w:r>
        <w:rPr/>
        <w:t xml:space="preserve">AS 2436</w:t>
      </w:r>
      <w:r>
        <w:tab/>
      </w:r>
      <w:r>
        <w:rPr/>
        <w:t xml:space="preserve">2010</w:t>
      </w:r>
      <w:r>
        <w:tab/>
      </w:r>
      <w:r>
        <w:rPr/>
        <w:t xml:space="preserve">Guide to noise and vibration control on construction, demolition and maintenance sites</w:t>
      </w:r>
    </w:p>
    <w:p>
      <w:pPr>
        <w:pStyle w:val="Standard1"/>
      </w:pPr>
      <w:r>
        <w:rPr/>
        <w:t xml:space="preserve">AS 4000</w:t>
      </w:r>
      <w:r>
        <w:tab/>
      </w:r>
      <w:r>
        <w:rPr/>
        <w:t xml:space="preserve">1997</w:t>
      </w:r>
      <w:r>
        <w:tab/>
      </w:r>
      <w:r>
        <w:rPr/>
        <w:t xml:space="preserve">General conditions of contract</w:t>
      </w:r>
    </w:p>
    <w:p>
      <w:pPr>
        <w:pStyle w:val="Standard1"/>
      </w:pPr>
      <w:r>
        <w:rPr/>
        <w:t xml:space="preserve">AS 4874</w:t>
      </w:r>
      <w:r>
        <w:tab/>
      </w:r>
      <w:r>
        <w:rPr/>
        <w:t xml:space="preserve">2000</w:t>
      </w:r>
      <w:r>
        <w:tab/>
      </w:r>
      <w:r>
        <w:rPr/>
        <w:t xml:space="preserve">Guide to the investigation of potentially contaminated soil and deposited dust as source of lead available to humans</w:t>
      </w:r>
    </w:p>
    <w:p>
      <w:pPr>
        <w:pStyle w:val="Standard1"/>
      </w:pPr>
      <w:r>
        <w:rPr/>
        <w:t xml:space="preserve">AS 4902</w:t>
      </w:r>
      <w:r>
        <w:tab/>
      </w:r>
      <w:r>
        <w:rPr/>
        <w:t xml:space="preserve">2000</w:t>
      </w:r>
      <w:r>
        <w:tab/>
      </w:r>
      <w:r>
        <w:rPr/>
        <w:t xml:space="preserve">General conditions of contract for design and construct</w:t>
      </w:r>
    </w:p>
    <w:p>
      <w:pPr>
        <w:pStyle w:val="Standard1"/>
      </w:pPr>
      <w:r>
        <w:rPr/>
        <w:t xml:space="preserve">AS 4905</w:t>
      </w:r>
      <w:r>
        <w:tab/>
      </w:r>
      <w:r>
        <w:rPr/>
        <w:t xml:space="preserve">2002</w:t>
      </w:r>
      <w:r>
        <w:tab/>
      </w:r>
      <w:r>
        <w:rPr/>
        <w:t xml:space="preserve">Minor works contract conditions (Superintendent administered)</w:t>
      </w:r>
    </w:p>
    <w:p>
      <w:pPr>
        <w:pStyle w:val="Standard1"/>
      </w:pPr>
      <w:r>
        <w:rPr/>
        <w:t xml:space="preserve">ABIC EW-1</w:t>
      </w:r>
      <w:r>
        <w:tab/>
      </w:r>
      <w:r>
        <w:rPr/>
        <w:t xml:space="preserve">2003</w:t>
      </w:r>
      <w:r>
        <w:tab/>
      </w:r>
      <w:r>
        <w:rPr/>
        <w:t xml:space="preserve">Australian Building Industry Contract - Early Works Contract</w:t>
      </w:r>
    </w:p>
    <w:p>
      <w:pPr>
        <w:pStyle w:val="Standard1"/>
      </w:pPr>
      <w:r>
        <w:rPr/>
        <w:t xml:space="preserve">ABIC MW-2018</w:t>
      </w:r>
      <w:r>
        <w:tab/>
      </w:r>
      <w:r>
        <w:rPr/>
        <w:t xml:space="preserve">2018</w:t>
      </w:r>
      <w:r>
        <w:tab/>
      </w:r>
      <w:r>
        <w:rPr/>
        <w:t xml:space="preserve">Australian Building Industry Contract – Major works</w:t>
      </w:r>
    </w:p>
    <w:p>
      <w:pPr>
        <w:pStyle w:val="Standard1"/>
      </w:pPr>
      <w:r>
        <w:rPr/>
        <w:t xml:space="preserve">ABIC SW-2018</w:t>
      </w:r>
      <w:r>
        <w:tab/>
      </w:r>
      <w:r>
        <w:rPr/>
        <w:t xml:space="preserve">2018</w:t>
      </w:r>
      <w:r>
        <w:tab/>
      </w:r>
      <w:r>
        <w:rPr/>
        <w:t xml:space="preserve">Australian Building Industry Contract – Simple works</w:t>
      </w:r>
    </w:p>
    <w:p>
      <w:pPr>
        <w:pStyle w:val="Standard1"/>
      </w:pPr>
      <w:r>
        <w:rPr/>
        <w:t xml:space="preserve">NCW4</w:t>
      </w:r>
      <w:r>
        <w:tab/>
      </w:r>
      <w:r>
        <w:rPr/>
        <w:t xml:space="preserve">2019</w:t>
      </w:r>
      <w:r>
        <w:tab/>
      </w:r>
      <w:r>
        <w:rPr/>
        <w:t xml:space="preserve">General conditions of contract for construction</w:t>
      </w:r>
    </w:p>
    <w:p>
      <w:pPr>
        <w:pStyle w:val="Standard1"/>
      </w:pPr>
      <w:r>
        <w:rPr/>
        <w:t xml:space="preserve">NATSPEC GEN 016</w:t>
      </w:r>
      <w:r>
        <w:tab/>
      </w:r>
      <w:r>
        <w:rPr/>
        <w:t xml:space="preserve">2018</w:t>
      </w:r>
      <w:r>
        <w:tab/>
      </w:r>
      <w:r>
        <w:rPr/>
        <w:t xml:space="preserve">Preliminaries and contract schedules</w:t>
      </w:r>
    </w:p>
    <w:bookmarkEnd w:id="167"/>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Hyperlink">
    <w:name w:val="ps_inl_Hyperlink"/>
    <w:basedOn w:val="Normal"/>
    <w:rPr>
      <w:bdr w:val="single" w:sz="4" w:space="0" w:color="D99594" w:themeColor="accent2" w:themeTint="99"/>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0140 Preliminaries - ABIC BW 2018 C</dc:title>
  <cp:category>01 GENERAL</cp:category>
</cp:coreProperties>
</file>